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A7A5F" w14:textId="368FE553" w:rsidR="003D5C6B" w:rsidRPr="00ED172A" w:rsidRDefault="00ED172A" w:rsidP="00ED172A">
      <w:pPr>
        <w:spacing w:before="360"/>
        <w:jc w:val="right"/>
        <w:rPr>
          <w:rFonts w:ascii="Times New Roman" w:hAnsi="Times New Roman" w:cs="Times New Roman"/>
          <w:sz w:val="24"/>
        </w:rPr>
      </w:pPr>
      <w:r w:rsidRPr="00ED172A">
        <w:rPr>
          <w:rFonts w:ascii="Times New Roman" w:hAnsi="Times New Roman" w:cs="Times New Roman"/>
          <w:sz w:val="24"/>
        </w:rPr>
        <w:t>NPFC-2026-SSC NFS04-WP07</w:t>
      </w:r>
    </w:p>
    <w:p w14:paraId="2F1E354E" w14:textId="0052C0C8" w:rsidR="00EF649D" w:rsidRPr="00B4591F" w:rsidRDefault="00EA0F7C" w:rsidP="00B4591F">
      <w:pPr>
        <w:jc w:val="center"/>
        <w:rPr>
          <w:rFonts w:ascii="Times New Roman" w:hAnsi="Times New Roman" w:cs="Times New Roman"/>
          <w:b/>
          <w:bCs/>
          <w:sz w:val="28"/>
          <w:szCs w:val="28"/>
        </w:rPr>
      </w:pPr>
      <w:r>
        <w:rPr>
          <w:rFonts w:ascii="Times New Roman" w:hAnsi="Times New Roman" w:cs="Times New Roman"/>
          <w:b/>
          <w:bCs/>
          <w:sz w:val="28"/>
          <w:szCs w:val="28"/>
        </w:rPr>
        <w:t>Updated stock assessment of Neon flying squid in the Northwest Pacific using JABBA model up to 2025</w:t>
      </w:r>
    </w:p>
    <w:p w14:paraId="11D37825" w14:textId="467A4D1A" w:rsidR="00B4591F" w:rsidRPr="00B4591F" w:rsidRDefault="005C611D" w:rsidP="00B4591F">
      <w:pPr>
        <w:jc w:val="center"/>
        <w:rPr>
          <w:rFonts w:ascii="Times New Roman" w:hAnsi="Times New Roman" w:cs="Times New Roman"/>
          <w:sz w:val="28"/>
          <w:szCs w:val="28"/>
        </w:rPr>
      </w:pPr>
      <w:proofErr w:type="spellStart"/>
      <w:r>
        <w:rPr>
          <w:rFonts w:ascii="Times New Roman" w:hAnsi="Times New Roman" w:cs="Times New Roman" w:hint="eastAsia"/>
          <w:sz w:val="28"/>
          <w:szCs w:val="28"/>
        </w:rPr>
        <w:t>Mingyan</w:t>
      </w:r>
      <w:proofErr w:type="spellEnd"/>
      <w:r>
        <w:rPr>
          <w:rFonts w:ascii="Times New Roman" w:hAnsi="Times New Roman" w:cs="Times New Roman" w:hint="eastAsia"/>
          <w:sz w:val="28"/>
          <w:szCs w:val="28"/>
        </w:rPr>
        <w:t xml:space="preserve"> Song, Jintao Wang</w:t>
      </w:r>
    </w:p>
    <w:p w14:paraId="2F1E3552" w14:textId="0A292605" w:rsidR="00EF649D" w:rsidRPr="00B4591F" w:rsidRDefault="00B4591F" w:rsidP="00B4591F">
      <w:pPr>
        <w:jc w:val="center"/>
        <w:rPr>
          <w:rFonts w:ascii="Times New Roman" w:hAnsi="Times New Roman" w:cs="Times New Roman"/>
          <w:sz w:val="28"/>
          <w:szCs w:val="28"/>
        </w:rPr>
      </w:pPr>
      <w:r>
        <w:rPr>
          <w:rFonts w:ascii="Times New Roman" w:hAnsi="Times New Roman" w:cs="Times New Roman" w:hint="eastAsia"/>
          <w:sz w:val="28"/>
          <w:szCs w:val="28"/>
        </w:rPr>
        <w:t>Shanghai Ocean University</w:t>
      </w:r>
    </w:p>
    <w:p w14:paraId="2F1E3553" w14:textId="77777777" w:rsidR="00EF649D" w:rsidRDefault="00EA0F7C">
      <w:pPr>
        <w:pStyle w:val="Heading1"/>
        <w:rPr>
          <w:rFonts w:ascii="Times New Roman" w:hAnsi="Times New Roman" w:hint="default"/>
        </w:rPr>
      </w:pPr>
      <w:r>
        <w:rPr>
          <w:rFonts w:ascii="Times New Roman" w:hAnsi="Times New Roman"/>
          <w:sz w:val="28"/>
          <w:szCs w:val="28"/>
        </w:rPr>
        <w:t>SUMMARY</w:t>
      </w:r>
    </w:p>
    <w:p w14:paraId="2F1E3554" w14:textId="77777777" w:rsidR="00EF649D" w:rsidRDefault="00EA0F7C">
      <w:pPr>
        <w:ind w:firstLineChars="200" w:firstLine="480"/>
        <w:rPr>
          <w:rFonts w:ascii="Times New Roman" w:hAnsi="Times New Roman" w:cs="Times New Roman"/>
          <w:sz w:val="24"/>
        </w:rPr>
      </w:pPr>
      <w:r>
        <w:rPr>
          <w:rFonts w:ascii="Times New Roman" w:hAnsi="Times New Roman" w:cs="Times New Roman"/>
          <w:sz w:val="24"/>
        </w:rPr>
        <w:t>This study provides an updated stock assessment of neon flying squid in the Northwest Pacific Ocean through 2025 using JABBA (Just Another Bayesian Biomass Assessment). The assessment incorporated NPFC-compiled catch data and Chinese squid-jigging CPUE series, including nominal CPUE and standardized CPUE indices derived from generalized additive model (GAM), random forest (RF), and gradient boosting model (GBM). A total of 12 assessment scenarios were conducted, combining three stock units (winter–spring cohort, autumn cohort, and stock-wide population) with four abundance indices. The stock-wide assessment based on GAM-standardized CPUE was selected as the base-case scenario, with additional retrospective analysis and short-term projections conducted. All assessment scenarios showed satisfactory convergence and model diagnostics. The results indicated consistent declines in fishing mortality in recent years, while estimated biomass levels varied among CPUE scenarios. The autumn cohort showed relatively consistent stock status across different CPUE scenarios, whereas the winter–spring cohort and stock-wide assessments showed more conservative stock status when standardized CPUE indices were applied. Projection results suggested that lower catch levels would support stock recovery, while higher fishing pressure could increase the risk of stock depletion. These findings provide updated information on neon flying squid stock status and highlight the importance of considering multiple CPUE scenarios in future assessments under the NPFC management framework.</w:t>
      </w:r>
    </w:p>
    <w:p w14:paraId="2F1E3555" w14:textId="77777777" w:rsidR="00EF649D" w:rsidRDefault="00EA0F7C">
      <w:pPr>
        <w:pStyle w:val="Heading1"/>
        <w:keepNext/>
        <w:keepLines/>
        <w:rPr>
          <w:rFonts w:hint="default"/>
          <w:sz w:val="24"/>
          <w:szCs w:val="24"/>
        </w:rPr>
      </w:pPr>
      <w:r>
        <w:rPr>
          <w:rFonts w:ascii="Times New Roman" w:hAnsi="Times New Roman" w:hint="default"/>
          <w:sz w:val="28"/>
          <w:szCs w:val="28"/>
        </w:rPr>
        <w:t xml:space="preserve">1. Introduction </w:t>
      </w:r>
    </w:p>
    <w:p w14:paraId="2F1E3556"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The neon flying squid is an important fishery resource in the Northwest Pacific Ocean. Its short life cycle results in substantial interannual fluctuations in stock abundance (</w:t>
      </w:r>
      <w:proofErr w:type="spellStart"/>
      <w:r>
        <w:rPr>
          <w:rFonts w:ascii="Times New Roman" w:hAnsi="Times New Roman" w:cs="Times New Roman"/>
          <w:sz w:val="24"/>
        </w:rPr>
        <w:t>Yatsu</w:t>
      </w:r>
      <w:proofErr w:type="spellEnd"/>
      <w:r>
        <w:rPr>
          <w:rFonts w:ascii="Times New Roman" w:hAnsi="Times New Roman" w:cs="Times New Roman"/>
          <w:sz w:val="24"/>
        </w:rPr>
        <w:t xml:space="preserve"> et al., 1997; Wang et al., 2016). Because complete age-structured data are unavailable, surplus production models provide a practical approach for evaluating stock status using annual catch and relative abundance indices (Winker et al., 2018).</w:t>
      </w:r>
    </w:p>
    <w:p w14:paraId="2F1E3557"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lastRenderedPageBreak/>
        <w:t>This study builds on the working paper NPFC-2026-SSC NFS03-WP10 submitted at the previous meeting and updates the catch and CPUE data through 2025. In response to the technical suggestions raised during SSC NFS03, improvements were made to the JABBA assessment framework, including parameter settings, convergence diagnostics, and sensitivity analyses. The objectives of this study were to update the JABBA assessments for the winter–spring cohort, autumn cohort, and stock-wide population, and to provide updated information to support future stock assessments and management of neon flying squid.</w:t>
      </w:r>
    </w:p>
    <w:p w14:paraId="2F1E3558" w14:textId="77777777" w:rsidR="00EF649D" w:rsidRDefault="00EA0F7C">
      <w:pPr>
        <w:pStyle w:val="Heading1"/>
        <w:keepNext/>
        <w:keepLines/>
        <w:rPr>
          <w:rFonts w:ascii="Times New Roman" w:eastAsiaTheme="minorEastAsia" w:hAnsi="Times New Roman" w:hint="default"/>
          <w:sz w:val="28"/>
          <w:szCs w:val="28"/>
        </w:rPr>
      </w:pPr>
      <w:r>
        <w:rPr>
          <w:rFonts w:ascii="Times New Roman" w:hAnsi="Times New Roman"/>
          <w:sz w:val="28"/>
          <w:szCs w:val="28"/>
        </w:rPr>
        <w:t>2. Materials and Methods</w:t>
      </w:r>
    </w:p>
    <w:p w14:paraId="2F1E3559" w14:textId="77777777" w:rsidR="00EF649D" w:rsidRDefault="00EA0F7C">
      <w:pPr>
        <w:pStyle w:val="Heading2"/>
        <w:rPr>
          <w:rFonts w:ascii="Times New Roman" w:eastAsia="Segoe UI" w:hAnsi="Times New Roman" w:hint="default"/>
          <w:sz w:val="24"/>
          <w:szCs w:val="24"/>
          <w:shd w:val="clear" w:color="auto" w:fill="FFFFFF"/>
        </w:rPr>
      </w:pPr>
      <w:r>
        <w:rPr>
          <w:rFonts w:ascii="Times New Roman" w:hAnsi="Times New Roman"/>
          <w:sz w:val="24"/>
          <w:szCs w:val="24"/>
        </w:rPr>
        <w:t>2.1. Input Data</w:t>
      </w:r>
    </w:p>
    <w:p w14:paraId="2F1E355A"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Annual catch and fishing-effort data were obtained from the NPFC compilation “NPFC-2026-AR-Annual Summary Footprint - Squids (Rev. 2)”. This dataset summarizes neon flying squid catch and fishing-effort data submitted by NPFC members and was updated through 2025 (Fig. 1). The assessment period covered 2005–2025 for the winter-spring cohort and the stock-wide population, and 2012–2025 for the autumn cohort, consistent with the availability of the Chinese CPUE data.</w:t>
      </w:r>
    </w:p>
    <w:p w14:paraId="2F1E355B"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Relative abundance indices were derived from the Chinese squid-jigging fishery and included nominal CPUE and standardized CPUE estimated using a generalized additive model (GAM), random forest (RF), and gradient boosting model (GBM). Figure 2 shows the interannual variation in the four CPUE indices. The standardized indices and their annual standard errors were obtained from the companion CPUE standardization study. </w:t>
      </w:r>
    </w:p>
    <w:p w14:paraId="2F1E355C" w14:textId="77777777" w:rsidR="00EF649D" w:rsidRDefault="00EA0F7C">
      <w:pPr>
        <w:pStyle w:val="Heading2"/>
        <w:rPr>
          <w:rFonts w:ascii="Times New Roman" w:hAnsi="Times New Roman" w:hint="default"/>
          <w:sz w:val="24"/>
          <w:szCs w:val="24"/>
        </w:rPr>
      </w:pPr>
      <w:r>
        <w:rPr>
          <w:rFonts w:ascii="Times New Roman" w:hAnsi="Times New Roman"/>
          <w:sz w:val="24"/>
          <w:szCs w:val="24"/>
        </w:rPr>
        <w:t>2.2. Stock assessment model</w:t>
      </w:r>
    </w:p>
    <w:p w14:paraId="2F1E355D"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stock assessment was conducted using JABBA (Just Another Bayesian Biomass Assessment), a Bayesian state-space surplus production model. JABBA accounts for both process error in population dynamics and observation error in the CPUE </w:t>
      </w:r>
      <w:proofErr w:type="gramStart"/>
      <w:r>
        <w:rPr>
          <w:rFonts w:ascii="Times New Roman" w:hAnsi="Times New Roman" w:cs="Times New Roman"/>
          <w:sz w:val="24"/>
        </w:rPr>
        <w:t>indices, and</w:t>
      </w:r>
      <w:proofErr w:type="gramEnd"/>
      <w:r>
        <w:rPr>
          <w:rFonts w:ascii="Times New Roman" w:hAnsi="Times New Roman" w:cs="Times New Roman"/>
          <w:sz w:val="24"/>
        </w:rPr>
        <w:t xml:space="preserve"> estimates changes in stock biomass together with their associated uncertainty (Winker et al., 2018). The Schaefer production function was applied:</w:t>
      </w:r>
    </w:p>
    <w:p w14:paraId="2F1E355E" w14:textId="77777777" w:rsidR="00EF649D" w:rsidRDefault="00EA0F7C">
      <w:pPr>
        <w:pStyle w:val="ListParagraph"/>
        <w:spacing w:line="276" w:lineRule="auto"/>
        <w:ind w:left="369" w:firstLine="480"/>
        <w:jc w:val="center"/>
        <w:rPr>
          <w:rFonts w:ascii="Times New Roman" w:eastAsia="SimSun" w:hAnsi="Times New Roman" w:cs="Times New Roman"/>
          <w:sz w:val="24"/>
        </w:rPr>
      </w:pPr>
      <w:r>
        <w:rPr>
          <w:rFonts w:ascii="Times New Roman" w:eastAsia="SimSun" w:hAnsi="Times New Roman" w:cs="Times New Roman"/>
          <w:sz w:val="24"/>
        </w:rPr>
        <w:t>SP=</w:t>
      </w:r>
      <m:oMath>
        <m:f>
          <m:fPr>
            <m:ctrlPr>
              <w:rPr>
                <w:rFonts w:ascii="Cambria Math" w:eastAsia="SimSun" w:hAnsi="Cambria Math" w:cs="Times New Roman"/>
                <w:i/>
                <w:sz w:val="24"/>
              </w:rPr>
            </m:ctrlPr>
          </m:fPr>
          <m:num>
            <m:r>
              <w:rPr>
                <w:rFonts w:ascii="Cambria Math" w:eastAsia="SimSun" w:hAnsi="Cambria Math" w:cs="Times New Roman"/>
                <w:sz w:val="24"/>
              </w:rPr>
              <m:t>r</m:t>
            </m:r>
          </m:num>
          <m:den>
            <m:r>
              <w:rPr>
                <w:rFonts w:ascii="Cambria Math" w:eastAsia="SimSun" w:hAnsi="Cambria Math" w:cs="Times New Roman"/>
                <w:sz w:val="24"/>
              </w:rPr>
              <m:t>m-1</m:t>
            </m:r>
          </m:den>
        </m:f>
        <m:r>
          <w:rPr>
            <w:rFonts w:ascii="Cambria Math" w:eastAsia="SimSun" w:hAnsi="Cambria Math" w:cs="Times New Roman"/>
            <w:sz w:val="24"/>
          </w:rPr>
          <m:t>B</m:t>
        </m:r>
        <m:d>
          <m:dPr>
            <m:begChr m:val="["/>
            <m:endChr m:val="]"/>
            <m:ctrlPr>
              <w:rPr>
                <w:rFonts w:ascii="Cambria Math" w:eastAsia="SimSun" w:hAnsi="Cambria Math" w:cs="Times New Roman"/>
                <w:i/>
                <w:sz w:val="24"/>
              </w:rPr>
            </m:ctrlPr>
          </m:dPr>
          <m:e>
            <m:r>
              <w:rPr>
                <w:rFonts w:ascii="Cambria Math" w:eastAsia="SimSun" w:hAnsi="Cambria Math" w:cs="Times New Roman"/>
                <w:sz w:val="24"/>
              </w:rPr>
              <m:t>1-</m:t>
            </m:r>
            <m:sSup>
              <m:sSupPr>
                <m:ctrlPr>
                  <w:rPr>
                    <w:rFonts w:ascii="Cambria Math" w:eastAsia="SimSun" w:hAnsi="Cambria Math" w:cs="Times New Roman"/>
                    <w:i/>
                    <w:sz w:val="24"/>
                  </w:rPr>
                </m:ctrlPr>
              </m:sSupPr>
              <m:e>
                <m:d>
                  <m:dPr>
                    <m:ctrlPr>
                      <w:rPr>
                        <w:rFonts w:ascii="Cambria Math" w:eastAsia="SimSun" w:hAnsi="Cambria Math" w:cs="Times New Roman"/>
                        <w:i/>
                        <w:sz w:val="24"/>
                      </w:rPr>
                    </m:ctrlPr>
                  </m:dPr>
                  <m:e>
                    <m:f>
                      <m:fPr>
                        <m:ctrlPr>
                          <w:rPr>
                            <w:rFonts w:ascii="Cambria Math" w:eastAsia="SimSun" w:hAnsi="Cambria Math" w:cs="Times New Roman"/>
                            <w:i/>
                            <w:sz w:val="24"/>
                          </w:rPr>
                        </m:ctrlPr>
                      </m:fPr>
                      <m:num>
                        <m:r>
                          <w:rPr>
                            <w:rFonts w:ascii="Cambria Math" w:eastAsia="SimSun" w:hAnsi="Cambria Math" w:cs="Times New Roman"/>
                            <w:sz w:val="24"/>
                          </w:rPr>
                          <m:t>B</m:t>
                        </m:r>
                      </m:num>
                      <m:den>
                        <m:r>
                          <w:rPr>
                            <w:rFonts w:ascii="Cambria Math" w:eastAsia="SimSun" w:hAnsi="Cambria Math" w:cs="Times New Roman"/>
                            <w:sz w:val="24"/>
                          </w:rPr>
                          <m:t>K</m:t>
                        </m:r>
                      </m:den>
                    </m:f>
                  </m:e>
                </m:d>
              </m:e>
              <m:sup>
                <m:r>
                  <w:rPr>
                    <w:rFonts w:ascii="Cambria Math" w:eastAsia="SimSun" w:hAnsi="Cambria Math" w:cs="Times New Roman"/>
                    <w:sz w:val="24"/>
                  </w:rPr>
                  <m:t>m-1</m:t>
                </m:r>
              </m:sup>
            </m:sSup>
          </m:e>
        </m:d>
      </m:oMath>
      <w:r>
        <w:rPr>
          <w:rFonts w:ascii="Times New Roman" w:eastAsia="SimSun" w:hAnsi="Times New Roman" w:cs="Times New Roman"/>
          <w:sz w:val="24"/>
        </w:rPr>
        <w:t xml:space="preserve">     </w:t>
      </w:r>
      <w:proofErr w:type="gramStart"/>
      <w:r>
        <w:rPr>
          <w:rFonts w:ascii="Times New Roman" w:eastAsia="SimSun" w:hAnsi="Times New Roman" w:cs="Times New Roman"/>
          <w:sz w:val="24"/>
        </w:rPr>
        <w:t xml:space="preserve">   (</w:t>
      </w:r>
      <w:proofErr w:type="gramEnd"/>
      <w:r>
        <w:rPr>
          <w:rFonts w:ascii="Times New Roman" w:eastAsia="SimSun" w:hAnsi="Times New Roman" w:cs="Times New Roman" w:hint="eastAsia"/>
          <w:sz w:val="24"/>
        </w:rPr>
        <w:t>1</w:t>
      </w:r>
      <w:r>
        <w:rPr>
          <w:rFonts w:ascii="Times New Roman" w:eastAsia="SimSun" w:hAnsi="Times New Roman" w:cs="Times New Roman"/>
          <w:sz w:val="24"/>
        </w:rPr>
        <w:t>)</w:t>
      </w:r>
    </w:p>
    <w:p w14:paraId="2F1E355F" w14:textId="77777777" w:rsidR="00EF649D" w:rsidRDefault="00EA0F7C">
      <w:pPr>
        <w:pStyle w:val="ListParagraph"/>
        <w:spacing w:line="276" w:lineRule="auto"/>
        <w:ind w:firstLine="480"/>
        <w:rPr>
          <w:rFonts w:ascii="Times New Roman" w:hAnsi="Times New Roman" w:cs="Times New Roman"/>
          <w:sz w:val="24"/>
        </w:rPr>
      </w:pPr>
      <w:r>
        <w:rPr>
          <w:rFonts w:ascii="Times New Roman" w:eastAsia="SimSun" w:hAnsi="Times New Roman" w:cs="Times New Roman" w:hint="eastAsia"/>
          <w:sz w:val="24"/>
        </w:rPr>
        <w:t xml:space="preserve">where </w:t>
      </w:r>
      <w:r>
        <w:rPr>
          <w:rFonts w:ascii="Times New Roman" w:eastAsia="SimSun" w:hAnsi="Times New Roman" w:cs="Times New Roman" w:hint="eastAsia"/>
          <w:i/>
          <w:iCs/>
          <w:sz w:val="24"/>
        </w:rPr>
        <w:t>SP</w:t>
      </w:r>
      <w:r>
        <w:rPr>
          <w:rFonts w:ascii="Times New Roman" w:eastAsia="SimSun" w:hAnsi="Times New Roman" w:cs="Times New Roman" w:hint="eastAsia"/>
          <w:sz w:val="24"/>
        </w:rPr>
        <w:t xml:space="preserve"> is the surplus production, </w:t>
      </w:r>
      <w:r>
        <w:rPr>
          <w:rFonts w:ascii="Times New Roman" w:eastAsia="SimSun" w:hAnsi="Times New Roman" w:cs="Times New Roman" w:hint="eastAsia"/>
          <w:i/>
          <w:iCs/>
          <w:sz w:val="24"/>
        </w:rPr>
        <w:t>B</w:t>
      </w:r>
      <w:r>
        <w:rPr>
          <w:rFonts w:ascii="Times New Roman" w:eastAsia="SimSun" w:hAnsi="Times New Roman" w:cs="Times New Roman" w:hint="eastAsia"/>
          <w:sz w:val="24"/>
        </w:rPr>
        <w:t xml:space="preserve"> is the exploitable biomass, </w:t>
      </w:r>
      <w:r>
        <w:rPr>
          <w:rFonts w:ascii="Times New Roman" w:eastAsia="SimSun" w:hAnsi="Times New Roman" w:cs="Times New Roman" w:hint="eastAsia"/>
          <w:i/>
          <w:iCs/>
          <w:sz w:val="24"/>
        </w:rPr>
        <w:t>r</w:t>
      </w:r>
      <w:r>
        <w:rPr>
          <w:rFonts w:ascii="Times New Roman" w:eastAsia="SimSun" w:hAnsi="Times New Roman" w:cs="Times New Roman" w:hint="eastAsia"/>
          <w:sz w:val="24"/>
        </w:rPr>
        <w:t xml:space="preserve"> is the intrinsic rate of growth and </w:t>
      </w:r>
      <w:r>
        <w:rPr>
          <w:rFonts w:ascii="Times New Roman" w:eastAsia="SimSun" w:hAnsi="Times New Roman" w:cs="Times New Roman" w:hint="eastAsia"/>
          <w:i/>
          <w:iCs/>
          <w:sz w:val="24"/>
        </w:rPr>
        <w:t>K</w:t>
      </w:r>
      <w:r>
        <w:rPr>
          <w:rFonts w:ascii="Times New Roman" w:eastAsia="SimSun" w:hAnsi="Times New Roman" w:cs="Times New Roman" w:hint="eastAsia"/>
          <w:sz w:val="24"/>
        </w:rPr>
        <w:t xml:space="preserve"> is the carrying capacity. This form assumes a symmetric production curve where the biomass at maximum sustainable yield (MSY) is </w:t>
      </w:r>
      <w:r>
        <w:rPr>
          <w:rFonts w:ascii="Times New Roman" w:eastAsia="SimSun" w:hAnsi="Times New Roman" w:cs="Times New Roman" w:hint="eastAsia"/>
          <w:i/>
          <w:iCs/>
          <w:sz w:val="24"/>
        </w:rPr>
        <w:lastRenderedPageBreak/>
        <w:t>B</w:t>
      </w:r>
      <w:r>
        <w:rPr>
          <w:rFonts w:ascii="Times New Roman" w:eastAsia="SimSun" w:hAnsi="Times New Roman" w:cs="Times New Roman" w:hint="eastAsia"/>
          <w:i/>
          <w:iCs/>
          <w:sz w:val="24"/>
          <w:vertAlign w:val="subscript"/>
        </w:rPr>
        <w:t>MSY</w:t>
      </w:r>
      <w:r>
        <w:rPr>
          <w:rFonts w:ascii="Times New Roman" w:eastAsia="SimSun" w:hAnsi="Times New Roman" w:cs="Times New Roman" w:hint="eastAsia"/>
          <w:i/>
          <w:iCs/>
          <w:sz w:val="24"/>
        </w:rPr>
        <w:t>=K/2</w:t>
      </w:r>
      <w:r>
        <w:rPr>
          <w:rFonts w:ascii="Times New Roman" w:eastAsia="SimSun" w:hAnsi="Times New Roman" w:cs="Times New Roman" w:hint="eastAsia"/>
          <w:sz w:val="24"/>
        </w:rPr>
        <w:t xml:space="preserve">. The Schaefer model is widely applied in cephalopod stock assessments and </w:t>
      </w:r>
      <w:r>
        <w:rPr>
          <w:rFonts w:ascii="Times New Roman" w:eastAsia="SimSun" w:hAnsi="Times New Roman" w:cs="Times New Roman"/>
          <w:sz w:val="24"/>
        </w:rPr>
        <w:t xml:space="preserve">provides a parsimonious and stable model for data-limited situations (Wang et al., </w:t>
      </w:r>
      <w:r>
        <w:rPr>
          <w:rFonts w:ascii="Times New Roman" w:hAnsi="Times New Roman" w:cs="Times New Roman"/>
          <w:sz w:val="24"/>
        </w:rPr>
        <w:t>2016).</w:t>
      </w:r>
    </w:p>
    <w:p w14:paraId="2F1E3560"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observation equation was: </w:t>
      </w:r>
    </w:p>
    <w:p w14:paraId="2F1E3561" w14:textId="77777777" w:rsidR="00EF649D" w:rsidRDefault="00000000">
      <w:pPr>
        <w:spacing w:line="276" w:lineRule="auto"/>
        <w:ind w:firstLine="1134"/>
        <w:jc w:val="center"/>
        <w:rPr>
          <w:rFonts w:ascii="Times New Roman" w:eastAsia="Segoe UI" w:hAnsi="Times New Roman" w:cs="Times New Roman"/>
          <w:sz w:val="24"/>
          <w:shd w:val="clear" w:color="auto" w:fill="FFFFFF"/>
        </w:rPr>
      </w:pP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I</m:t>
            </m:r>
          </m:e>
          <m:sub>
            <m:r>
              <m:rPr>
                <m:nor/>
              </m:rPr>
              <w:rPr>
                <w:rFonts w:ascii="Times New Roman" w:eastAsia="SimSun" w:hAnsi="Times New Roman" w:cs="Times New Roman"/>
                <w:i/>
                <w:sz w:val="24"/>
              </w:rPr>
              <m:t>i</m:t>
            </m:r>
            <m:r>
              <m:rPr>
                <m:nor/>
              </m:rPr>
              <w:rPr>
                <w:rFonts w:ascii="Times New Roman" w:eastAsia="SimSun" w:hAnsi="Times New Roman" w:cs="Times New Roman"/>
                <w:sz w:val="24"/>
              </w:rPr>
              <m:t>，</m:t>
            </m:r>
            <m:r>
              <m:rPr>
                <m:nor/>
              </m:rPr>
              <w:rPr>
                <w:rFonts w:ascii="Times New Roman" w:eastAsia="SimSun" w:hAnsi="Times New Roman" w:cs="Times New Roman"/>
                <w:i/>
                <w:sz w:val="24"/>
              </w:rPr>
              <m:t>y</m:t>
            </m:r>
          </m:sub>
        </m:sSub>
      </m:oMath>
      <w:r w:rsidR="00EA0F7C">
        <w:rPr>
          <w:rFonts w:ascii="Times New Roman" w:eastAsia="SimSun" w:hAnsi="Times New Roman" w:cs="Times New Roman"/>
          <w:sz w:val="24"/>
        </w:rPr>
        <w:t>=</w:t>
      </w: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q</m:t>
            </m:r>
          </m:e>
          <m:sub>
            <m:r>
              <m:rPr>
                <m:nor/>
              </m:rPr>
              <w:rPr>
                <w:rFonts w:ascii="Times New Roman" w:eastAsia="SimSun" w:hAnsi="Times New Roman" w:cs="Times New Roman"/>
                <w:i/>
                <w:sz w:val="24"/>
              </w:rPr>
              <m:t>i</m:t>
            </m:r>
          </m:sub>
        </m:sSub>
        <m:sSub>
          <m:sSubPr>
            <m:ctrlPr>
              <w:rPr>
                <w:rFonts w:ascii="Cambria Math" w:eastAsia="SimSun" w:hAnsi="Cambria Math" w:cs="Times New Roman"/>
                <w:i/>
                <w:sz w:val="24"/>
              </w:rPr>
            </m:ctrlPr>
          </m:sSubPr>
          <m:e>
            <m:r>
              <m:rPr>
                <m:nor/>
              </m:rPr>
              <w:rPr>
                <w:rFonts w:ascii="Times New Roman" w:eastAsia="SimSun" w:hAnsi="Times New Roman" w:cs="Times New Roman"/>
                <w:i/>
                <w:sz w:val="24"/>
              </w:rPr>
              <m:t>B</m:t>
            </m:r>
          </m:e>
          <m:sub>
            <m:r>
              <m:rPr>
                <m:nor/>
              </m:rPr>
              <w:rPr>
                <w:rFonts w:ascii="Times New Roman" w:eastAsia="SimSun" w:hAnsi="Times New Roman" w:cs="Times New Roman"/>
                <w:i/>
                <w:sz w:val="24"/>
              </w:rPr>
              <m:t>i</m:t>
            </m:r>
          </m:sub>
        </m:sSub>
        <m:sSup>
          <m:sSupPr>
            <m:ctrlPr>
              <w:rPr>
                <w:rFonts w:ascii="Cambria Math" w:eastAsia="SimSun" w:hAnsi="Cambria Math" w:cs="Times New Roman"/>
                <w:i/>
                <w:sz w:val="24"/>
              </w:rPr>
            </m:ctrlPr>
          </m:sSupPr>
          <m:e>
            <m:r>
              <m:rPr>
                <m:nor/>
              </m:rPr>
              <w:rPr>
                <w:rFonts w:ascii="Times New Roman" w:eastAsia="SimSun" w:hAnsi="Times New Roman" w:cs="Times New Roman"/>
                <w:i/>
                <w:sz w:val="24"/>
              </w:rPr>
              <m:t>e</m:t>
            </m:r>
          </m:e>
          <m:sup>
            <m:sSub>
              <m:sSubPr>
                <m:ctrlPr>
                  <w:rPr>
                    <w:rFonts w:ascii="Cambria Math" w:eastAsia="SimSun" w:hAnsi="Cambria Math" w:cs="Times New Roman"/>
                    <w:i/>
                    <w:sz w:val="24"/>
                  </w:rPr>
                </m:ctrlPr>
              </m:sSubPr>
              <m:e>
                <m:r>
                  <m:rPr>
                    <m:nor/>
                  </m:rPr>
                  <w:rPr>
                    <w:rFonts w:ascii="Times New Roman" w:eastAsia="SimSun" w:hAnsi="Times New Roman" w:cs="Times New Roman"/>
                    <w:i/>
                    <w:sz w:val="24"/>
                  </w:rPr>
                  <m:t>ε</m:t>
                </m:r>
              </m:e>
              <m:sub>
                <w:proofErr w:type="gramStart"/>
                <m:r>
                  <m:rPr>
                    <m:nor/>
                  </m:rPr>
                  <w:rPr>
                    <w:rFonts w:ascii="Times New Roman" w:eastAsia="SimSun" w:hAnsi="Times New Roman" w:cs="Times New Roman"/>
                    <w:i/>
                    <w:sz w:val="24"/>
                  </w:rPr>
                  <m:t>y</m:t>
                </m:r>
                <m:r>
                  <m:rPr>
                    <m:nor/>
                  </m:rPr>
                  <w:rPr>
                    <w:rFonts w:ascii="Times New Roman" w:eastAsia="SimSun" w:hAnsi="Times New Roman" w:cs="Times New Roman"/>
                    <w:sz w:val="24"/>
                  </w:rPr>
                  <m:t>,</m:t>
                </m:r>
                <m:r>
                  <m:rPr>
                    <m:nor/>
                  </m:rPr>
                  <w:rPr>
                    <w:rFonts w:ascii="Times New Roman" w:eastAsia="SimSun" w:hAnsi="Times New Roman" w:cs="Times New Roman"/>
                    <w:i/>
                    <w:sz w:val="24"/>
                  </w:rPr>
                  <m:t>i</m:t>
                </m:r>
                <w:proofErr w:type="gramEnd"/>
              </m:sub>
            </m:sSub>
          </m:sup>
        </m:sSup>
      </m:oMath>
      <w:r w:rsidR="00EA0F7C">
        <w:rPr>
          <w:rFonts w:ascii="Times New Roman" w:eastAsia="SimSun" w:hAnsi="Times New Roman" w:cs="Times New Roman"/>
          <w:sz w:val="24"/>
        </w:rPr>
        <w:t xml:space="preserve"> </w:t>
      </w:r>
      <w:r w:rsidR="00EA0F7C">
        <w:rPr>
          <w:rFonts w:ascii="Times New Roman" w:eastAsia="SimSun" w:hAnsi="Times New Roman" w:cs="Times New Roman"/>
        </w:rPr>
        <w:t xml:space="preserve">   </w:t>
      </w:r>
      <w:proofErr w:type="gramStart"/>
      <w:r w:rsidR="00EA0F7C">
        <w:rPr>
          <w:rFonts w:ascii="Times New Roman" w:eastAsia="SimSun" w:hAnsi="Times New Roman" w:cs="Times New Roman"/>
        </w:rPr>
        <w:t xml:space="preserve">   </w:t>
      </w:r>
      <w:r w:rsidR="00EA0F7C">
        <w:rPr>
          <w:rFonts w:ascii="Times New Roman" w:eastAsia="SimSun" w:hAnsi="Times New Roman" w:cs="Times New Roman"/>
          <w:sz w:val="24"/>
        </w:rPr>
        <w:t>(</w:t>
      </w:r>
      <w:proofErr w:type="gramEnd"/>
      <w:r w:rsidR="00EA0F7C">
        <w:rPr>
          <w:rFonts w:ascii="Times New Roman" w:eastAsia="SimSun" w:hAnsi="Times New Roman" w:cs="Times New Roman" w:hint="eastAsia"/>
          <w:sz w:val="24"/>
        </w:rPr>
        <w:t>2</w:t>
      </w:r>
      <w:r w:rsidR="00EA0F7C">
        <w:rPr>
          <w:rFonts w:ascii="Times New Roman" w:eastAsia="SimSun" w:hAnsi="Times New Roman" w:cs="Times New Roman"/>
          <w:sz w:val="24"/>
        </w:rPr>
        <w:t>)</w:t>
      </w:r>
    </w:p>
    <w:p w14:paraId="2F1E3562"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where </w:t>
      </w:r>
      <w:proofErr w:type="spellStart"/>
      <w:proofErr w:type="gramStart"/>
      <w:r>
        <w:rPr>
          <w:rFonts w:ascii="Times New Roman" w:hAnsi="Times New Roman" w:cs="Times New Roman" w:hint="eastAsia"/>
          <w:i/>
          <w:iCs/>
          <w:sz w:val="24"/>
        </w:rPr>
        <w:t>I</w:t>
      </w:r>
      <w:r>
        <w:rPr>
          <w:rFonts w:ascii="Times New Roman" w:hAnsi="Times New Roman" w:cs="Times New Roman" w:hint="eastAsia"/>
          <w:i/>
          <w:iCs/>
          <w:sz w:val="24"/>
          <w:vertAlign w:val="subscript"/>
        </w:rPr>
        <w:t>i,y</w:t>
      </w:r>
      <w:proofErr w:type="spellEnd"/>
      <w:proofErr w:type="gramEnd"/>
      <w:r>
        <w:rPr>
          <w:rFonts w:ascii="Times New Roman" w:hAnsi="Times New Roman" w:cs="Times New Roman"/>
          <w:sz w:val="24"/>
        </w:rPr>
        <w:t> is the abundance index from series </w:t>
      </w:r>
      <w:proofErr w:type="spellStart"/>
      <w:r>
        <w:rPr>
          <w:rFonts w:ascii="Times New Roman" w:hAnsi="Times New Roman" w:cs="Times New Roman"/>
          <w:i/>
          <w:iCs/>
          <w:sz w:val="24"/>
        </w:rPr>
        <w:t>i</w:t>
      </w:r>
      <w:proofErr w:type="spellEnd"/>
      <w:r>
        <w:rPr>
          <w:rFonts w:ascii="Times New Roman" w:hAnsi="Times New Roman" w:cs="Times New Roman"/>
          <w:sz w:val="24"/>
        </w:rPr>
        <w:t> in year </w:t>
      </w:r>
      <w:r>
        <w:rPr>
          <w:rFonts w:ascii="Times New Roman" w:hAnsi="Times New Roman" w:cs="Times New Roman"/>
          <w:i/>
          <w:iCs/>
          <w:sz w:val="24"/>
        </w:rPr>
        <w:t>y</w:t>
      </w:r>
      <w:r>
        <w:rPr>
          <w:rFonts w:ascii="Times New Roman" w:hAnsi="Times New Roman" w:cs="Times New Roman"/>
          <w:sz w:val="24"/>
        </w:rPr>
        <w:t>, </w:t>
      </w:r>
      <w:r>
        <w:rPr>
          <w:rFonts w:ascii="Times New Roman" w:hAnsi="Times New Roman" w:cs="Times New Roman"/>
          <w:i/>
          <w:iCs/>
          <w:sz w:val="24"/>
        </w:rPr>
        <w:t>q</w:t>
      </w:r>
      <w:r>
        <w:rPr>
          <w:rFonts w:ascii="Times New Roman" w:hAnsi="Times New Roman" w:cs="Times New Roman"/>
          <w:i/>
          <w:iCs/>
          <w:sz w:val="24"/>
          <w:vertAlign w:val="subscript"/>
        </w:rPr>
        <w:t>i</w:t>
      </w:r>
      <w:r>
        <w:rPr>
          <w:rFonts w:ascii="Times New Roman" w:hAnsi="Times New Roman" w:cs="Times New Roman" w:hint="eastAsia"/>
          <w:i/>
          <w:iCs/>
          <w:sz w:val="24"/>
        </w:rPr>
        <w:t xml:space="preserve"> </w:t>
      </w:r>
      <w:r>
        <w:rPr>
          <w:rFonts w:ascii="Times New Roman" w:hAnsi="Times New Roman" w:cs="Times New Roman"/>
          <w:sz w:val="24"/>
        </w:rPr>
        <w:t>is the catchability coefficient for that series, and </w:t>
      </w:r>
      <w:proofErr w:type="spellStart"/>
      <w:r>
        <w:rPr>
          <w:rFonts w:ascii="Times New Roman" w:hAnsi="Times New Roman" w:cs="Times New Roman"/>
          <w:i/>
          <w:iCs/>
          <w:sz w:val="24"/>
        </w:rPr>
        <w:t>ε</w:t>
      </w:r>
      <w:proofErr w:type="gramStart"/>
      <w:r>
        <w:rPr>
          <w:rFonts w:ascii="Times New Roman" w:hAnsi="Times New Roman" w:cs="Times New Roman"/>
          <w:i/>
          <w:iCs/>
          <w:sz w:val="24"/>
          <w:vertAlign w:val="subscript"/>
        </w:rPr>
        <w:t>y,i</w:t>
      </w:r>
      <w:proofErr w:type="spellEnd"/>
      <w:proofErr w:type="gramEnd"/>
      <w:r>
        <w:rPr>
          <w:rFonts w:ascii="Times New Roman" w:hAnsi="Times New Roman" w:cs="Times New Roman" w:hint="eastAsia"/>
          <w:i/>
          <w:iCs/>
          <w:sz w:val="24"/>
          <w:vertAlign w:val="subscript"/>
        </w:rPr>
        <w:t xml:space="preserve"> </w:t>
      </w:r>
      <w:r>
        <w:rPr>
          <w:rFonts w:ascii="Times New Roman" w:hAnsi="Times New Roman" w:cs="Times New Roman"/>
          <w:sz w:val="24"/>
        </w:rPr>
        <w:t>is the observation error</w:t>
      </w:r>
      <w:r>
        <w:rPr>
          <w:rFonts w:ascii="Times New Roman" w:hAnsi="Times New Roman" w:cs="Times New Roman" w:hint="eastAsia"/>
          <w:sz w:val="24"/>
        </w:rPr>
        <w:t xml:space="preserve">, </w:t>
      </w:r>
      <w:r>
        <w:rPr>
          <w:rFonts w:ascii="Times New Roman" w:eastAsia="Segoe UI" w:hAnsi="Times New Roman" w:cs="Times New Roman"/>
          <w:sz w:val="24"/>
          <w:shd w:val="clear" w:color="auto" w:fill="FFFFFF"/>
        </w:rPr>
        <w:t xml:space="preserve">assumed to follow a normal distribution: </w:t>
      </w:r>
      <m:oMath>
        <m:sSub>
          <m:sSubPr>
            <m:ctrlPr>
              <w:rPr>
                <w:rFonts w:ascii="Cambria Math" w:eastAsia="SimSun" w:hAnsi="Cambria Math" w:cs="Times New Roman"/>
                <w:i/>
                <w:sz w:val="24"/>
              </w:rPr>
            </m:ctrlPr>
          </m:sSubPr>
          <m:e>
            <m:r>
              <m:rPr>
                <m:nor/>
              </m:rPr>
              <w:rPr>
                <w:rFonts w:ascii="Times New Roman" w:eastAsia="SimSun" w:hAnsi="Times New Roman" w:cs="Times New Roman"/>
                <w:i/>
                <w:sz w:val="24"/>
              </w:rPr>
              <m:t>ε</m:t>
            </m:r>
          </m:e>
          <m:sub>
            <w:proofErr w:type="gramStart"/>
            <m:r>
              <m:rPr>
                <m:nor/>
              </m:rPr>
              <w:rPr>
                <w:rFonts w:ascii="Times New Roman" w:eastAsia="SimSun" w:hAnsi="Times New Roman" w:cs="Times New Roman"/>
                <w:i/>
                <w:sz w:val="24"/>
              </w:rPr>
              <m:t>y,i</m:t>
            </m:r>
            <w:proofErr w:type="gramEnd"/>
          </m:sub>
        </m:sSub>
        <m:r>
          <m:rPr>
            <m:nor/>
          </m:rPr>
          <w:rPr>
            <w:rFonts w:ascii="Times New Roman" w:eastAsia="SimSun" w:hAnsi="Times New Roman" w:cs="Times New Roman"/>
            <w:i/>
            <w:sz w:val="24"/>
          </w:rPr>
          <m:t>~</m:t>
        </m:r>
        <w:proofErr w:type="gramStart"/>
        <m:r>
          <m:rPr>
            <m:nor/>
          </m:rPr>
          <w:rPr>
            <w:rFonts w:ascii="Times New Roman" w:eastAsia="SimSun" w:hAnsi="Times New Roman" w:cs="Times New Roman"/>
            <w:i/>
            <w:sz w:val="24"/>
          </w:rPr>
          <m:t>N(</m:t>
        </m:r>
        <w:proofErr w:type="gramEnd"/>
        <m:r>
          <m:rPr>
            <m:nor/>
          </m:rPr>
          <w:rPr>
            <w:rFonts w:ascii="Times New Roman" w:eastAsia="SimSun" w:hAnsi="Times New Roman" w:cs="Times New Roman"/>
            <w:i/>
            <w:sz w:val="24"/>
          </w:rPr>
          <m:t xml:space="preserve">0, </m:t>
        </m:r>
        <m:sSubSup>
          <m:sSubSupPr>
            <m:ctrlPr>
              <w:rPr>
                <w:rFonts w:ascii="Cambria Math" w:eastAsia="SimSun" w:hAnsi="Cambria Math" w:cs="Times New Roman"/>
                <w:i/>
                <w:sz w:val="24"/>
              </w:rPr>
            </m:ctrlPr>
          </m:sSubSupPr>
          <m:e>
            <m:r>
              <m:rPr>
                <m:nor/>
              </m:rPr>
              <w:rPr>
                <w:rFonts w:ascii="Times New Roman" w:eastAsia="SimSun" w:hAnsi="Times New Roman" w:cs="Times New Roman"/>
                <w:i/>
                <w:sz w:val="24"/>
              </w:rPr>
              <m:t>σ</m:t>
            </m:r>
          </m:e>
          <m:sub>
            <w:proofErr w:type="gramStart"/>
            <m:r>
              <m:rPr>
                <m:nor/>
              </m:rPr>
              <w:rPr>
                <w:rFonts w:ascii="Times New Roman" w:eastAsia="SimSun" w:hAnsi="Times New Roman" w:cs="Times New Roman"/>
                <w:i/>
                <w:sz w:val="24"/>
              </w:rPr>
              <m:t>ε,t</m:t>
            </m:r>
            <w:proofErr w:type="gramEnd"/>
            <m:r>
              <m:rPr>
                <m:nor/>
              </m:rPr>
              <w:rPr>
                <w:rFonts w:ascii="Times New Roman" w:eastAsia="SimSun" w:hAnsi="Times New Roman" w:cs="Times New Roman"/>
                <w:i/>
                <w:sz w:val="24"/>
              </w:rPr>
              <m:t>,i</m:t>
            </m:r>
          </m:sub>
          <m:sup>
            <m:r>
              <m:rPr>
                <m:nor/>
              </m:rPr>
              <w:rPr>
                <w:rFonts w:ascii="Times New Roman" w:eastAsia="SimSun" w:hAnsi="Times New Roman" w:cs="Times New Roman"/>
                <w:i/>
                <w:sz w:val="24"/>
              </w:rPr>
              <m:t>2</m:t>
            </m:r>
          </m:sup>
        </m:sSubSup>
        <m:r>
          <m:rPr>
            <m:nor/>
          </m:rPr>
          <w:rPr>
            <w:rFonts w:ascii="Times New Roman" w:eastAsia="SimSun" w:hAnsi="Times New Roman" w:cs="Times New Roman"/>
            <w:i/>
            <w:sz w:val="24"/>
          </w:rPr>
          <m:t>)</m:t>
        </m:r>
      </m:oMath>
      <w:r>
        <w:rPr>
          <w:rFonts w:ascii="Times New Roman" w:eastAsia="SimSun" w:hAnsi="Times New Roman" w:cs="Times New Roman"/>
          <w:sz w:val="24"/>
        </w:rPr>
        <w:t>.</w:t>
      </w:r>
    </w:p>
    <w:p w14:paraId="2F1E3563" w14:textId="77777777" w:rsidR="00EF649D" w:rsidRDefault="00EA0F7C">
      <w:pPr>
        <w:ind w:firstLineChars="200" w:firstLine="480"/>
        <w:rPr>
          <w:rFonts w:ascii="Times New Roman" w:hAnsi="Times New Roman" w:cs="Times New Roman"/>
          <w:sz w:val="24"/>
        </w:rPr>
      </w:pPr>
      <w:r>
        <w:rPr>
          <w:rFonts w:ascii="Times New Roman" w:hAnsi="Times New Roman" w:cs="Times New Roman"/>
          <w:sz w:val="24"/>
        </w:rPr>
        <w:t>A total of 12 JABBA assessment scenarios were developed, comprising combinations of three stock units—the winter-spring cohort, autumn cohort, and stock-wide population—and four abundance indices: nominal CPUE, GAM-standardized CPUE, RF-standardized CPUE, and GBM-standardized CPUE.</w:t>
      </w:r>
      <w:r>
        <w:rPr>
          <w:rFonts w:ascii="Times New Roman" w:hAnsi="Times New Roman" w:cs="Times New Roman" w:hint="eastAsia"/>
          <w:sz w:val="24"/>
        </w:rPr>
        <w:t xml:space="preserve"> </w:t>
      </w:r>
      <w:r>
        <w:rPr>
          <w:rFonts w:ascii="Times New Roman" w:hAnsi="Times New Roman" w:cs="Times New Roman"/>
          <w:sz w:val="24"/>
        </w:rPr>
        <w:t xml:space="preserve">The </w:t>
      </w:r>
      <w:r>
        <w:rPr>
          <w:rFonts w:ascii="Times New Roman" w:hAnsi="Times New Roman" w:cs="Times New Roman" w:hint="eastAsia"/>
          <w:sz w:val="24"/>
        </w:rPr>
        <w:t>stock-wide</w:t>
      </w:r>
      <w:r>
        <w:rPr>
          <w:rFonts w:ascii="Times New Roman" w:hAnsi="Times New Roman" w:cs="Times New Roman"/>
          <w:sz w:val="24"/>
        </w:rPr>
        <w:t xml:space="preserve"> scenario based on the GAM-standardized CPUE was designated as the base-case scenario. The remaining 11 scenarios were treated as alternative and sensitivity scenarios to evaluate the effects of abundance-index selection and stock-unit definition on the assessment results. </w:t>
      </w:r>
    </w:p>
    <w:p w14:paraId="2F1E3564" w14:textId="77777777" w:rsidR="00EF649D" w:rsidRDefault="00EA0F7C">
      <w:pPr>
        <w:pStyle w:val="Heading2"/>
        <w:rPr>
          <w:rFonts w:ascii="Times New Roman" w:hAnsi="Times New Roman" w:hint="default"/>
          <w:sz w:val="24"/>
          <w:szCs w:val="24"/>
        </w:rPr>
      </w:pPr>
      <w:r>
        <w:rPr>
          <w:rFonts w:ascii="Times New Roman" w:hAnsi="Times New Roman"/>
          <w:sz w:val="24"/>
          <w:szCs w:val="24"/>
        </w:rPr>
        <w:t xml:space="preserve">2.3. </w:t>
      </w:r>
      <w:r>
        <w:rPr>
          <w:rStyle w:val="Strong"/>
          <w:rFonts w:ascii="Times New Roman" w:eastAsia="Segoe UI" w:hAnsi="Times New Roman"/>
          <w:b/>
          <w:color w:val="0F1115"/>
          <w:sz w:val="24"/>
          <w:szCs w:val="24"/>
          <w:shd w:val="clear" w:color="auto" w:fill="FFFFFF"/>
        </w:rPr>
        <w:t>Model parameterization and priors</w:t>
      </w:r>
    </w:p>
    <w:p w14:paraId="2F1E3565"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Prior distributions for the model parameters were specified with reference to previous applications of JABBA to short-lived cephalopod stocks and earlier stock assessments of neon flying squid (Chen et al., 2008; </w:t>
      </w:r>
      <w:proofErr w:type="spellStart"/>
      <w:r>
        <w:rPr>
          <w:rFonts w:ascii="Times New Roman" w:hAnsi="Times New Roman" w:cs="Times New Roman"/>
          <w:sz w:val="24"/>
        </w:rPr>
        <w:t>Ichii</w:t>
      </w:r>
      <w:proofErr w:type="spellEnd"/>
      <w:r>
        <w:rPr>
          <w:rFonts w:ascii="Times New Roman" w:hAnsi="Times New Roman" w:cs="Times New Roman"/>
          <w:sz w:val="24"/>
        </w:rPr>
        <w:t xml:space="preserve"> et al., 2006). The intrinsic rate of population </w:t>
      </w:r>
      <w:proofErr w:type="gramStart"/>
      <w:r>
        <w:rPr>
          <w:rFonts w:ascii="Times New Roman" w:hAnsi="Times New Roman" w:cs="Times New Roman"/>
          <w:sz w:val="24"/>
        </w:rPr>
        <w:t>increase</w:t>
      </w:r>
      <w:proofErr w:type="gramEnd"/>
      <w:r>
        <w:rPr>
          <w:rFonts w:ascii="Times New Roman" w:hAnsi="Times New Roman" w:cs="Times New Roman"/>
          <w:sz w:val="24"/>
        </w:rPr>
        <w:t xml:space="preserve">, (r), was assigned a uniform </w:t>
      </w:r>
      <w:proofErr w:type="gramStart"/>
      <w:r>
        <w:rPr>
          <w:rFonts w:ascii="Times New Roman" w:hAnsi="Times New Roman" w:cs="Times New Roman"/>
          <w:sz w:val="24"/>
        </w:rPr>
        <w:t>prior</w:t>
      </w:r>
      <w:proofErr w:type="gramEnd"/>
      <w:r>
        <w:rPr>
          <w:rFonts w:ascii="Times New Roman" w:hAnsi="Times New Roman" w:cs="Times New Roman"/>
          <w:sz w:val="24"/>
        </w:rPr>
        <w:t xml:space="preserve"> ranging from 0.6 to 1.5. The carrying capacity, (K), was also assigned a uniform prior, with bounds set from one to ten times the maximum observed annual catch for each stock unit. The catchability coefficient, (q), and the initial biomass ratio, (psi), were not specified separately and followed the default JABBA settings.</w:t>
      </w:r>
    </w:p>
    <w:p w14:paraId="2F1E3566"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Observation-error inputs were specified on the log scale. For standardized CPUE indices, annual log-scale standard errors (</w:t>
      </w:r>
      <w:proofErr w:type="spellStart"/>
      <w:r>
        <w:rPr>
          <w:rFonts w:ascii="Times New Roman" w:hAnsi="Times New Roman" w:cs="Times New Roman"/>
          <w:sz w:val="24"/>
        </w:rPr>
        <w:t>SElog</w:t>
      </w:r>
      <w:proofErr w:type="spellEnd"/>
      <w:r>
        <w:rPr>
          <w:rFonts w:ascii="Times New Roman" w:hAnsi="Times New Roman" w:cs="Times New Roman"/>
          <w:sz w:val="24"/>
        </w:rPr>
        <w:t>) were calculated from the corresponding 95% confidence intervals, whereas the nominal CPUE index was assigned a fixed coefficient of variation (CV) and converted to the log scale. The annual log-scale standard errors were used as observation-error inputs, with a minimum fixed observation error of 0.01 applied. The process-error variance was assigned a diffuse inverse-gamma prior with parameters 0.001 and 0.001. Catch observation error was represented by a fixed coefficient of variation of 0.1.</w:t>
      </w:r>
    </w:p>
    <w:p w14:paraId="2F1E3567" w14:textId="77777777" w:rsidR="00EF649D" w:rsidRDefault="00EA0F7C">
      <w:pPr>
        <w:pStyle w:val="Heading2"/>
        <w:rPr>
          <w:rFonts w:ascii="Times New Roman" w:hAnsi="Times New Roman" w:hint="default"/>
          <w:sz w:val="24"/>
          <w:szCs w:val="24"/>
        </w:rPr>
      </w:pPr>
      <w:r>
        <w:rPr>
          <w:rFonts w:ascii="Times New Roman" w:hAnsi="Times New Roman" w:hint="default"/>
          <w:sz w:val="24"/>
          <w:szCs w:val="24"/>
        </w:rPr>
        <w:t>2.4. Model diagnostics</w:t>
      </w:r>
    </w:p>
    <w:p w14:paraId="2F1E3568" w14:textId="77777777" w:rsidR="00EF649D" w:rsidRDefault="00EA0F7C">
      <w:pPr>
        <w:ind w:firstLineChars="200" w:firstLine="480"/>
        <w:rPr>
          <w:rFonts w:ascii="Times New Roman" w:hAnsi="Times New Roman" w:cs="Times New Roman"/>
          <w:sz w:val="24"/>
        </w:rPr>
      </w:pPr>
      <w:r>
        <w:rPr>
          <w:rFonts w:ascii="Times New Roman" w:hAnsi="Times New Roman" w:cs="Times New Roman"/>
          <w:sz w:val="24"/>
        </w:rPr>
        <w:t>Model convergence was assessed using MCMC trace plots and the Gelman–</w:t>
      </w:r>
      <w:r>
        <w:rPr>
          <w:rFonts w:ascii="Times New Roman" w:hAnsi="Times New Roman" w:cs="Times New Roman"/>
          <w:sz w:val="24"/>
        </w:rPr>
        <w:lastRenderedPageBreak/>
        <w:t xml:space="preserve">Rubin diagnostic statistic </w:t>
      </w:r>
      <w:r>
        <w:rPr>
          <w:rFonts w:ascii="Times New Roman" w:hAnsi="Times New Roman" w:cs="Times New Roman" w:hint="eastAsia"/>
          <w:sz w:val="24"/>
        </w:rPr>
        <w:t>(</w:t>
      </w:r>
      <m:oMath>
        <m:acc>
          <m:accPr>
            <m:ctrlPr>
              <w:rPr>
                <w:rFonts w:ascii="Cambria Math" w:hAnsi="Cambria Math"/>
                <w:sz w:val="24"/>
              </w:rPr>
            </m:ctrlPr>
          </m:accPr>
          <m:e>
            <m:r>
              <w:rPr>
                <w:rFonts w:ascii="Cambria Math" w:hAnsi="Cambria Math"/>
                <w:sz w:val="24"/>
              </w:rPr>
              <m:t>R</m:t>
            </m:r>
          </m:e>
        </m:acc>
      </m:oMath>
      <w:r>
        <w:rPr>
          <w:rFonts w:ascii="Times New Roman" w:hAnsi="Times New Roman" w:cs="Times New Roman"/>
          <w:sz w:val="24"/>
        </w:rPr>
        <w:t>) (Gelman and Rubin, 1992). Model fit was evaluated by comparing observed and predicted CPUE values and was quantified using the root mean square error (RMSE) of the standardized residuals.</w:t>
      </w:r>
      <w:r>
        <w:rPr>
          <w:rFonts w:ascii="Times New Roman" w:hAnsi="Times New Roman" w:cs="Times New Roman" w:hint="eastAsia"/>
          <w:sz w:val="24"/>
        </w:rPr>
        <w:t xml:space="preserve"> </w:t>
      </w:r>
      <w:r>
        <w:rPr>
          <w:rFonts w:ascii="Times New Roman" w:hAnsi="Times New Roman" w:cs="Times New Roman"/>
          <w:sz w:val="24"/>
        </w:rPr>
        <w:t>The standardized residual time series was examined to assess whether residuals were randomly distributed around zero and to identify any systematic patterns.</w:t>
      </w:r>
    </w:p>
    <w:p w14:paraId="2F1E3569" w14:textId="77777777" w:rsidR="00EF649D" w:rsidRDefault="00EA0F7C">
      <w:pPr>
        <w:ind w:firstLineChars="200" w:firstLine="480"/>
        <w:rPr>
          <w:rFonts w:ascii="Times New Roman" w:hAnsi="Times New Roman" w:cs="Times New Roman"/>
        </w:rPr>
      </w:pPr>
      <w:r>
        <w:rPr>
          <w:rFonts w:ascii="Times New Roman" w:hAnsi="Times New Roman" w:cs="Times New Roman"/>
          <w:sz w:val="24"/>
        </w:rPr>
        <w:t>A retrospective analysis was conducted for the base-case scenario by sequentially removing the most recent 1–5 years of data. Mohn’s ρ was calculated to quantify retrospective bias in the model estimates (Mohn, 1999).</w:t>
      </w:r>
    </w:p>
    <w:p w14:paraId="2F1E356A" w14:textId="77777777" w:rsidR="00EF649D" w:rsidRDefault="00EA0F7C">
      <w:pPr>
        <w:pStyle w:val="Heading2"/>
        <w:rPr>
          <w:rFonts w:ascii="Times New Roman" w:hAnsi="Times New Roman" w:hint="default"/>
        </w:rPr>
      </w:pPr>
      <w:r>
        <w:rPr>
          <w:rFonts w:ascii="Times New Roman" w:hAnsi="Times New Roman"/>
          <w:sz w:val="24"/>
          <w:szCs w:val="24"/>
        </w:rPr>
        <w:t>2.5. Model projection</w:t>
      </w:r>
    </w:p>
    <w:p w14:paraId="2F1E356B" w14:textId="77777777" w:rsidR="00EF649D" w:rsidRDefault="00EA0F7C">
      <w:pPr>
        <w:spacing w:line="276" w:lineRule="auto"/>
        <w:ind w:firstLineChars="200" w:firstLine="480"/>
        <w:rPr>
          <w:rFonts w:ascii="Times New Roman" w:hAnsi="Times New Roman" w:cs="Times New Roman"/>
        </w:rPr>
      </w:pPr>
      <w:r>
        <w:rPr>
          <w:rFonts w:ascii="Times New Roman" w:hAnsi="Times New Roman" w:cs="Times New Roman"/>
          <w:sz w:val="24"/>
        </w:rPr>
        <w:t xml:space="preserve">Short-term projections were conducted based on the posterior parameter estimates from the JABBA base-case model, </w:t>
      </w:r>
      <w:proofErr w:type="gramStart"/>
      <w:r>
        <w:rPr>
          <w:rFonts w:ascii="Times New Roman" w:hAnsi="Times New Roman" w:cs="Times New Roman"/>
          <w:sz w:val="24"/>
        </w:rPr>
        <w:t>assuming that</w:t>
      </w:r>
      <w:proofErr w:type="gramEnd"/>
      <w:r>
        <w:rPr>
          <w:rFonts w:ascii="Times New Roman" w:hAnsi="Times New Roman" w:cs="Times New Roman"/>
          <w:sz w:val="24"/>
        </w:rPr>
        <w:t xml:space="preserve"> model parameters remained unchanged during the projection period. Four constant-catch scenarios (10,000, 25,000, 35,000, and 50,000 t/year) were considered to represent different levels of future fishing pressure. Future biomass trajectories and stock status under different catch scenarios were compared to evaluate the potential effects of alternative fishing pressures on future stock conditions.</w:t>
      </w:r>
    </w:p>
    <w:p w14:paraId="2F1E356C" w14:textId="77777777" w:rsidR="00EF649D" w:rsidRDefault="00EA0F7C">
      <w:pPr>
        <w:pStyle w:val="Heading1"/>
        <w:keepNext/>
        <w:keepLines/>
        <w:rPr>
          <w:rFonts w:ascii="Times New Roman" w:hAnsi="Times New Roman" w:hint="default"/>
          <w:sz w:val="28"/>
          <w:szCs w:val="28"/>
        </w:rPr>
      </w:pPr>
      <w:r>
        <w:rPr>
          <w:rFonts w:ascii="Times New Roman" w:hAnsi="Times New Roman" w:hint="default"/>
          <w:sz w:val="28"/>
          <w:szCs w:val="28"/>
        </w:rPr>
        <w:t>3. Results</w:t>
      </w:r>
    </w:p>
    <w:p w14:paraId="2F1E356D" w14:textId="77777777" w:rsidR="00EF649D" w:rsidRDefault="00EA0F7C">
      <w:pPr>
        <w:pStyle w:val="Heading2"/>
        <w:rPr>
          <w:rFonts w:ascii="Times New Roman" w:hAnsi="Times New Roman" w:hint="default"/>
          <w:sz w:val="24"/>
          <w:szCs w:val="24"/>
        </w:rPr>
      </w:pPr>
      <w:r>
        <w:rPr>
          <w:rFonts w:ascii="Times New Roman" w:hAnsi="Times New Roman"/>
          <w:sz w:val="24"/>
          <w:szCs w:val="24"/>
        </w:rPr>
        <w:t xml:space="preserve">3.1. </w:t>
      </w:r>
      <w:r>
        <w:rPr>
          <w:rFonts w:ascii="Times New Roman" w:hAnsi="Times New Roman" w:hint="default"/>
          <w:sz w:val="24"/>
          <w:szCs w:val="24"/>
        </w:rPr>
        <w:t>Model diagnostics and convergence assessment</w:t>
      </w:r>
    </w:p>
    <w:p w14:paraId="2F1E356E"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MCMC trace plots of the base-case scenario showed stable sampling processes for all estimated parameters, with no apparent trends observed during the iterations </w:t>
      </w:r>
      <w:r>
        <w:rPr>
          <w:rFonts w:ascii="Times New Roman" w:hAnsi="Times New Roman" w:cs="Times New Roman" w:hint="eastAsia"/>
          <w:sz w:val="24"/>
        </w:rPr>
        <w:t>(</w:t>
      </w:r>
      <w:r>
        <w:rPr>
          <w:rFonts w:ascii="Times New Roman" w:eastAsia="Segoe UI" w:hAnsi="Times New Roman" w:cs="Times New Roman"/>
          <w:color w:val="0F1115"/>
          <w:sz w:val="24"/>
          <w:shd w:val="clear" w:color="auto" w:fill="FFFFFF"/>
        </w:rPr>
        <w:t xml:space="preserve">Fig. </w:t>
      </w:r>
      <w:r>
        <w:rPr>
          <w:rFonts w:ascii="Times New Roman" w:eastAsia="SimSun" w:hAnsi="Times New Roman" w:cs="Times New Roman" w:hint="eastAsia"/>
          <w:color w:val="0F1115"/>
          <w:sz w:val="24"/>
          <w:shd w:val="clear" w:color="auto" w:fill="FFFFFF"/>
        </w:rPr>
        <w:t>3)</w:t>
      </w:r>
      <w:r>
        <w:rPr>
          <w:rFonts w:ascii="Times New Roman" w:hAnsi="Times New Roman" w:cs="Times New Roman"/>
          <w:sz w:val="24"/>
        </w:rPr>
        <w:t xml:space="preserve">. The Gelman–Rubin diagnostic results indicated that all estimated parameters and derived quantities had </w:t>
      </w:r>
      <m:oMath>
        <m:acc>
          <m:accPr>
            <m:ctrlPr>
              <w:rPr>
                <w:rFonts w:ascii="Cambria Math" w:hAnsi="Cambria Math"/>
                <w:sz w:val="24"/>
              </w:rPr>
            </m:ctrlPr>
          </m:accPr>
          <m:e>
            <m:r>
              <w:rPr>
                <w:rFonts w:ascii="Cambria Math" w:hAnsi="Cambria Math"/>
                <w:sz w:val="24"/>
              </w:rPr>
              <m:t>R</m:t>
            </m:r>
          </m:e>
        </m:acc>
      </m:oMath>
      <w:r>
        <w:rPr>
          <w:rFonts w:ascii="Times New Roman" w:hAnsi="Times New Roman" w:cs="Times New Roman"/>
          <w:sz w:val="24"/>
        </w:rPr>
        <w:t xml:space="preserve"> values close to 1 and below 1.1, demonstrating satisfactory model convergence (Table </w:t>
      </w:r>
      <w:r>
        <w:rPr>
          <w:rFonts w:ascii="Times New Roman" w:hAnsi="Times New Roman" w:cs="Times New Roman" w:hint="eastAsia"/>
          <w:sz w:val="24"/>
        </w:rPr>
        <w:t>1</w:t>
      </w:r>
      <w:r>
        <w:rPr>
          <w:rFonts w:ascii="Times New Roman" w:hAnsi="Times New Roman" w:cs="Times New Roman"/>
          <w:sz w:val="24"/>
        </w:rPr>
        <w:t>).</w:t>
      </w:r>
    </w:p>
    <w:p w14:paraId="2F1E356F"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Comparison between prior and posterior distributions showed that the posterior distributions of key parameters were contracted to varying degrees relative to the priors, indicating that the observed data provided additional information for parameter estimation </w:t>
      </w:r>
      <w:r>
        <w:rPr>
          <w:rFonts w:ascii="Times New Roman" w:hAnsi="Times New Roman" w:cs="Times New Roman" w:hint="eastAsia"/>
          <w:sz w:val="24"/>
        </w:rPr>
        <w:t>(</w:t>
      </w:r>
      <w:r>
        <w:rPr>
          <w:rFonts w:ascii="Times New Roman" w:eastAsia="Segoe UI" w:hAnsi="Times New Roman" w:cs="Times New Roman"/>
          <w:color w:val="0F1115"/>
          <w:sz w:val="24"/>
          <w:shd w:val="clear" w:color="auto" w:fill="FFFFFF"/>
        </w:rPr>
        <w:t xml:space="preserve">Fig. </w:t>
      </w:r>
      <w:r>
        <w:rPr>
          <w:rFonts w:ascii="Times New Roman" w:eastAsia="SimSun" w:hAnsi="Times New Roman" w:cs="Times New Roman" w:hint="eastAsia"/>
          <w:color w:val="0F1115"/>
          <w:sz w:val="24"/>
          <w:shd w:val="clear" w:color="auto" w:fill="FFFFFF"/>
        </w:rPr>
        <w:t>4</w:t>
      </w:r>
      <w:r>
        <w:rPr>
          <w:rFonts w:ascii="Times New Roman" w:hAnsi="Times New Roman" w:cs="Times New Roman" w:hint="eastAsia"/>
          <w:sz w:val="24"/>
        </w:rPr>
        <w:t>)</w:t>
      </w:r>
      <w:r>
        <w:rPr>
          <w:rFonts w:ascii="Times New Roman" w:hAnsi="Times New Roman" w:cs="Times New Roman"/>
          <w:sz w:val="24"/>
        </w:rPr>
        <w:t>.</w:t>
      </w:r>
    </w:p>
    <w:p w14:paraId="2F1E3570"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model adequately captured the long-term variation in observed CPUE, with predicted CPUE generally consistent with observations. In particular, the model successfully represented the early period with high CPUE </w:t>
      </w:r>
      <w:proofErr w:type="gramStart"/>
      <w:r>
        <w:rPr>
          <w:rFonts w:ascii="Times New Roman" w:hAnsi="Times New Roman" w:cs="Times New Roman"/>
          <w:sz w:val="24"/>
        </w:rPr>
        <w:t>values</w:t>
      </w:r>
      <w:proofErr w:type="gramEnd"/>
      <w:r>
        <w:rPr>
          <w:rFonts w:ascii="Times New Roman" w:hAnsi="Times New Roman" w:cs="Times New Roman"/>
          <w:sz w:val="24"/>
        </w:rPr>
        <w:t xml:space="preserve"> and the subsequent period characterized by relatively low and stable fluctuations </w:t>
      </w:r>
      <w:r>
        <w:rPr>
          <w:rFonts w:ascii="Times New Roman" w:hAnsi="Times New Roman" w:cs="Times New Roman" w:hint="eastAsia"/>
          <w:sz w:val="24"/>
        </w:rPr>
        <w:t>(</w:t>
      </w:r>
      <w:r>
        <w:rPr>
          <w:rFonts w:ascii="Times New Roman" w:eastAsia="Segoe UI" w:hAnsi="Times New Roman" w:cs="Times New Roman"/>
          <w:color w:val="0F1115"/>
          <w:sz w:val="24"/>
          <w:shd w:val="clear" w:color="auto" w:fill="FFFFFF"/>
        </w:rPr>
        <w:t xml:space="preserve">Fig. </w:t>
      </w:r>
      <w:r>
        <w:rPr>
          <w:rFonts w:ascii="Times New Roman" w:eastAsia="SimSun" w:hAnsi="Times New Roman" w:cs="Times New Roman" w:hint="eastAsia"/>
          <w:color w:val="0F1115"/>
          <w:sz w:val="24"/>
          <w:shd w:val="clear" w:color="auto" w:fill="FFFFFF"/>
        </w:rPr>
        <w:t>5</w:t>
      </w:r>
      <w:r>
        <w:rPr>
          <w:rFonts w:ascii="Times New Roman" w:hAnsi="Times New Roman" w:cs="Times New Roman" w:hint="eastAsia"/>
          <w:sz w:val="24"/>
        </w:rPr>
        <w:t>)</w:t>
      </w:r>
      <w:r>
        <w:rPr>
          <w:rFonts w:ascii="Times New Roman" w:hAnsi="Times New Roman" w:cs="Times New Roman"/>
          <w:sz w:val="24"/>
        </w:rPr>
        <w:t xml:space="preserve">. Standardized residuals were generally distributed around zero without obvious systematic patterns, and the model fit RMSE was 19.4% </w:t>
      </w:r>
      <w:r>
        <w:rPr>
          <w:rFonts w:ascii="Times New Roman" w:hAnsi="Times New Roman" w:cs="Times New Roman" w:hint="eastAsia"/>
          <w:sz w:val="24"/>
        </w:rPr>
        <w:t>(</w:t>
      </w:r>
      <w:r>
        <w:rPr>
          <w:rFonts w:ascii="Times New Roman" w:eastAsia="Segoe UI" w:hAnsi="Times New Roman" w:cs="Times New Roman"/>
          <w:color w:val="0F1115"/>
          <w:sz w:val="24"/>
          <w:shd w:val="clear" w:color="auto" w:fill="FFFFFF"/>
        </w:rPr>
        <w:t xml:space="preserve">Fig. </w:t>
      </w:r>
      <w:r>
        <w:rPr>
          <w:rFonts w:ascii="Times New Roman" w:eastAsia="SimSun" w:hAnsi="Times New Roman" w:cs="Times New Roman" w:hint="eastAsia"/>
          <w:color w:val="0F1115"/>
          <w:sz w:val="24"/>
          <w:shd w:val="clear" w:color="auto" w:fill="FFFFFF"/>
        </w:rPr>
        <w:t>6</w:t>
      </w:r>
      <w:r>
        <w:rPr>
          <w:rFonts w:ascii="Times New Roman" w:hAnsi="Times New Roman" w:cs="Times New Roman" w:hint="eastAsia"/>
          <w:sz w:val="24"/>
        </w:rPr>
        <w:t>)</w:t>
      </w:r>
      <w:r>
        <w:rPr>
          <w:rFonts w:ascii="Times New Roman" w:hAnsi="Times New Roman" w:cs="Times New Roman"/>
          <w:sz w:val="24"/>
        </w:rPr>
        <w:t>. Similar random residual patterns were also observed in the remaining 11 assessment scenarios, with no obvious systematic deviations detected.</w:t>
      </w:r>
    </w:p>
    <w:p w14:paraId="2F1E3571" w14:textId="77777777" w:rsidR="00EF649D" w:rsidRDefault="00EA0F7C">
      <w:pPr>
        <w:pStyle w:val="Heading2"/>
        <w:rPr>
          <w:rFonts w:ascii="Times New Roman" w:eastAsia="Segoe UI" w:hAnsi="Times New Roman" w:hint="default"/>
          <w:color w:val="0F1115"/>
          <w:sz w:val="24"/>
          <w:shd w:val="clear" w:color="auto" w:fill="FFFFFF"/>
        </w:rPr>
      </w:pPr>
      <w:r>
        <w:rPr>
          <w:rFonts w:ascii="Times New Roman" w:hAnsi="Times New Roman"/>
          <w:sz w:val="24"/>
          <w:szCs w:val="24"/>
        </w:rPr>
        <w:lastRenderedPageBreak/>
        <w:t>3.2. Stock status and reference points</w:t>
      </w:r>
    </w:p>
    <w:p w14:paraId="2F1E3572"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Based on the estimated biological parameters from each assessment scenario, management reference points were derived, including the maximum sustainable yield (MSY), the biomass corresponding to MSY (B</w:t>
      </w:r>
      <w:r>
        <w:rPr>
          <w:rFonts w:ascii="Times New Roman" w:hAnsi="Times New Roman" w:cs="Times New Roman"/>
          <w:sz w:val="24"/>
          <w:vertAlign w:val="subscript"/>
        </w:rPr>
        <w:t>MSY</w:t>
      </w:r>
      <w:r>
        <w:rPr>
          <w:rFonts w:ascii="Times New Roman" w:hAnsi="Times New Roman" w:cs="Times New Roman"/>
          <w:sz w:val="24"/>
        </w:rPr>
        <w:t>), and the fishing mortality rate at MSY (F</w:t>
      </w:r>
      <w:r>
        <w:rPr>
          <w:rFonts w:ascii="Times New Roman" w:hAnsi="Times New Roman" w:cs="Times New Roman"/>
          <w:sz w:val="24"/>
          <w:vertAlign w:val="subscript"/>
        </w:rPr>
        <w:t>MSY</w:t>
      </w:r>
      <w:r>
        <w:rPr>
          <w:rFonts w:ascii="Times New Roman" w:hAnsi="Times New Roman" w:cs="Times New Roman"/>
          <w:sz w:val="24"/>
        </w:rPr>
        <w:t>). The estimated reference points and terminal-year (2025) stock status indicators for all assessment scenarios are summarized in Table</w:t>
      </w:r>
      <w:r>
        <w:rPr>
          <w:rFonts w:ascii="Times New Roman" w:hAnsi="Times New Roman" w:cs="Times New Roman" w:hint="eastAsia"/>
          <w:sz w:val="24"/>
        </w:rPr>
        <w:t>s</w:t>
      </w:r>
      <w:r>
        <w:rPr>
          <w:rFonts w:ascii="Times New Roman" w:hAnsi="Times New Roman" w:cs="Times New Roman"/>
          <w:sz w:val="24"/>
        </w:rPr>
        <w:t xml:space="preserve"> </w:t>
      </w:r>
      <w:r>
        <w:rPr>
          <w:rFonts w:ascii="Times New Roman" w:hAnsi="Times New Roman" w:cs="Times New Roman" w:hint="eastAsia"/>
          <w:sz w:val="24"/>
        </w:rPr>
        <w:t>2-4</w:t>
      </w:r>
      <w:r>
        <w:rPr>
          <w:rFonts w:ascii="Times New Roman" w:hAnsi="Times New Roman" w:cs="Times New Roman"/>
          <w:sz w:val="24"/>
        </w:rPr>
        <w:t>.</w:t>
      </w:r>
    </w:p>
    <w:p w14:paraId="2F1E3573"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the estimated reference points varied among stock units and CPUE scenarios, reflecting the uncertainty associated with alternative abundance indices and stock-unit definitions.</w:t>
      </w:r>
    </w:p>
    <w:p w14:paraId="2F1E3574" w14:textId="77777777" w:rsidR="00EF649D" w:rsidRDefault="00EA0F7C">
      <w:pPr>
        <w:pStyle w:val="Heading2"/>
        <w:rPr>
          <w:rFonts w:ascii="Times New Roman" w:hAnsi="Times New Roman" w:hint="default"/>
          <w:sz w:val="24"/>
          <w:szCs w:val="24"/>
        </w:rPr>
      </w:pPr>
      <w:r>
        <w:rPr>
          <w:rFonts w:ascii="Times New Roman" w:hAnsi="Times New Roman"/>
          <w:sz w:val="24"/>
          <w:szCs w:val="24"/>
        </w:rPr>
        <w:t>3.3. Biomass and fishing mortality trajectories</w:t>
      </w:r>
    </w:p>
    <w:p w14:paraId="2F1E3575"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The trajectories of relative biomass (B/B</w:t>
      </w:r>
      <w:r>
        <w:rPr>
          <w:rFonts w:ascii="Times New Roman" w:hAnsi="Times New Roman" w:cs="Times New Roman"/>
          <w:sz w:val="24"/>
          <w:vertAlign w:val="subscript"/>
        </w:rPr>
        <w:t>MSY</w:t>
      </w:r>
      <w:r>
        <w:rPr>
          <w:rFonts w:ascii="Times New Roman" w:hAnsi="Times New Roman" w:cs="Times New Roman"/>
          <w:sz w:val="24"/>
        </w:rPr>
        <w:t>) and relative fishing mortality (F/F</w:t>
      </w:r>
      <w:r>
        <w:rPr>
          <w:rFonts w:ascii="Times New Roman" w:hAnsi="Times New Roman" w:cs="Times New Roman"/>
          <w:sz w:val="24"/>
          <w:vertAlign w:val="subscript"/>
        </w:rPr>
        <w:t>MSY</w:t>
      </w:r>
      <w:r>
        <w:rPr>
          <w:rFonts w:ascii="Times New Roman" w:hAnsi="Times New Roman" w:cs="Times New Roman"/>
          <w:sz w:val="24"/>
        </w:rPr>
        <w:t xml:space="preserve">) under different CPUE scenarios for the three assessment units are shown in Figs </w:t>
      </w:r>
      <w:r>
        <w:rPr>
          <w:rFonts w:ascii="Times New Roman" w:hAnsi="Times New Roman" w:cs="Times New Roman" w:hint="eastAsia"/>
          <w:sz w:val="24"/>
        </w:rPr>
        <w:t>7</w:t>
      </w:r>
      <w:r>
        <w:rPr>
          <w:rFonts w:ascii="Times New Roman" w:hAnsi="Times New Roman" w:cs="Times New Roman"/>
          <w:sz w:val="24"/>
        </w:rPr>
        <w:t>–</w:t>
      </w:r>
      <w:r>
        <w:rPr>
          <w:rFonts w:ascii="Times New Roman" w:hAnsi="Times New Roman" w:cs="Times New Roman" w:hint="eastAsia"/>
          <w:sz w:val="24"/>
        </w:rPr>
        <w:t>9</w:t>
      </w:r>
      <w:r>
        <w:rPr>
          <w:rFonts w:ascii="Times New Roman" w:hAnsi="Times New Roman" w:cs="Times New Roman"/>
          <w:sz w:val="24"/>
        </w:rPr>
        <w:t>.</w:t>
      </w:r>
    </w:p>
    <w:p w14:paraId="2F1E3576"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the different CPUE scenarios showed similar long-term temporal patterns, although differences existed in the magnitude of estimated stock status. The winter–spring cohort and stock-wide assessment both showed relatively high B/B</w:t>
      </w:r>
      <w:r>
        <w:rPr>
          <w:rFonts w:ascii="Times New Roman" w:hAnsi="Times New Roman" w:cs="Times New Roman"/>
          <w:sz w:val="24"/>
          <w:vertAlign w:val="subscript"/>
        </w:rPr>
        <w:t>MSY</w:t>
      </w:r>
      <w:r>
        <w:rPr>
          <w:rFonts w:ascii="Times New Roman" w:hAnsi="Times New Roman" w:cs="Times New Roman"/>
          <w:sz w:val="24"/>
        </w:rPr>
        <w:t xml:space="preserve"> values during the early assessment period, followed by a decline and relatively low fluctuations in recent years. Correspondingly, F/F</w:t>
      </w:r>
      <w:r>
        <w:rPr>
          <w:rFonts w:ascii="Times New Roman" w:hAnsi="Times New Roman" w:cs="Times New Roman"/>
          <w:sz w:val="24"/>
          <w:vertAlign w:val="subscript"/>
        </w:rPr>
        <w:t>MSY</w:t>
      </w:r>
      <w:r>
        <w:rPr>
          <w:rFonts w:ascii="Times New Roman" w:hAnsi="Times New Roman" w:cs="Times New Roman"/>
          <w:sz w:val="24"/>
        </w:rPr>
        <w:t xml:space="preserve"> decreased from relatively high levels in the early period and remained relatively low in recent years. The autumn cohort showed different dynamics, with B/B</w:t>
      </w:r>
      <w:r>
        <w:rPr>
          <w:rFonts w:ascii="Times New Roman" w:hAnsi="Times New Roman" w:cs="Times New Roman"/>
          <w:sz w:val="24"/>
          <w:vertAlign w:val="subscript"/>
        </w:rPr>
        <w:t>MSY</w:t>
      </w:r>
      <w:r>
        <w:rPr>
          <w:rFonts w:ascii="Times New Roman" w:hAnsi="Times New Roman" w:cs="Times New Roman"/>
          <w:sz w:val="24"/>
        </w:rPr>
        <w:t xml:space="preserve"> generally remaining at relatively high levels and reaching higher values around 2017–2020. The estimated F/F</w:t>
      </w:r>
      <w:r>
        <w:rPr>
          <w:rFonts w:ascii="Times New Roman" w:hAnsi="Times New Roman" w:cs="Times New Roman"/>
          <w:sz w:val="24"/>
          <w:vertAlign w:val="subscript"/>
        </w:rPr>
        <w:t>MSY</w:t>
      </w:r>
      <w:r>
        <w:rPr>
          <w:rFonts w:ascii="Times New Roman" w:hAnsi="Times New Roman" w:cs="Times New Roman"/>
          <w:sz w:val="24"/>
        </w:rPr>
        <w:t xml:space="preserve"> values remained below 1 throughout the assessment period, although some scenarios showed an increasing tendency in recent years.</w:t>
      </w:r>
    </w:p>
    <w:p w14:paraId="2F1E3577" w14:textId="77777777" w:rsidR="00EF649D" w:rsidRDefault="00EA0F7C">
      <w:pPr>
        <w:spacing w:line="276" w:lineRule="auto"/>
        <w:ind w:firstLineChars="200" w:firstLine="480"/>
        <w:rPr>
          <w:rFonts w:ascii="Times New Roman" w:hAnsi="Times New Roman" w:cs="Times New Roman"/>
        </w:rPr>
      </w:pPr>
      <w:r>
        <w:rPr>
          <w:rFonts w:ascii="Times New Roman" w:hAnsi="Times New Roman" w:cs="Times New Roman"/>
          <w:sz w:val="24"/>
        </w:rPr>
        <w:t>Differences among CPUE scenarios were mainly reflected in the magnitude of estimated B/B</w:t>
      </w:r>
      <w:r>
        <w:rPr>
          <w:rFonts w:ascii="Times New Roman" w:hAnsi="Times New Roman" w:cs="Times New Roman"/>
          <w:sz w:val="24"/>
          <w:vertAlign w:val="subscript"/>
        </w:rPr>
        <w:t>MSY</w:t>
      </w:r>
      <w:r>
        <w:rPr>
          <w:rFonts w:ascii="Times New Roman" w:hAnsi="Times New Roman" w:cs="Times New Roman"/>
          <w:sz w:val="24"/>
        </w:rPr>
        <w:t xml:space="preserve"> and F/F</w:t>
      </w:r>
      <w:r>
        <w:rPr>
          <w:rFonts w:ascii="Times New Roman" w:hAnsi="Times New Roman" w:cs="Times New Roman"/>
          <w:sz w:val="24"/>
          <w:vertAlign w:val="subscript"/>
        </w:rPr>
        <w:t>MSY</w:t>
      </w:r>
      <w:r>
        <w:rPr>
          <w:rFonts w:ascii="Times New Roman" w:hAnsi="Times New Roman" w:cs="Times New Roman"/>
          <w:sz w:val="24"/>
        </w:rPr>
        <w:t xml:space="preserve"> values. The nominal CPUE scenario generally resulted in higher biomass estimates, whereas the standardized CPUE scenarios (GAM, RF, and GBM) produced relatively similar results. Overall, the alternative assessment scenarios captured the major temporal patterns in stock dynamics, while differences in abundance indices and stock-unit definitions contributed to uncertainty in the estimated stock status.</w:t>
      </w:r>
    </w:p>
    <w:p w14:paraId="2F1E3578" w14:textId="77777777" w:rsidR="00EF649D" w:rsidRDefault="00EA0F7C">
      <w:pPr>
        <w:pStyle w:val="Heading2"/>
        <w:rPr>
          <w:rFonts w:ascii="Times New Roman" w:hAnsi="Times New Roman" w:hint="default"/>
          <w:sz w:val="24"/>
          <w:szCs w:val="24"/>
        </w:rPr>
      </w:pPr>
      <w:r>
        <w:rPr>
          <w:rFonts w:ascii="Times New Roman" w:hAnsi="Times New Roman"/>
          <w:sz w:val="24"/>
          <w:szCs w:val="24"/>
        </w:rPr>
        <w:t>3.4. Retrospective analysis</w:t>
      </w:r>
    </w:p>
    <w:p w14:paraId="2F1E3579"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Retrospective analyses were conducted for the three GAM-based assessment scenarios (winter–spring cohort, autumn cohort, and stock-wide assessment) by sequentially removing the most recent 1–5 years of data to evaluate the stability of model estimates (Figs</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10</w:t>
      </w:r>
      <w:r>
        <w:rPr>
          <w:rFonts w:ascii="Times New Roman" w:hAnsi="Times New Roman" w:cs="Times New Roman"/>
          <w:sz w:val="24"/>
        </w:rPr>
        <w:t>–</w:t>
      </w:r>
      <w:r>
        <w:rPr>
          <w:rFonts w:ascii="Times New Roman" w:hAnsi="Times New Roman" w:cs="Times New Roman" w:hint="eastAsia"/>
          <w:sz w:val="24"/>
        </w:rPr>
        <w:t>12</w:t>
      </w:r>
      <w:r>
        <w:rPr>
          <w:rFonts w:ascii="Times New Roman" w:hAnsi="Times New Roman" w:cs="Times New Roman"/>
          <w:sz w:val="24"/>
        </w:rPr>
        <w:t>).</w:t>
      </w:r>
    </w:p>
    <w:p w14:paraId="2F1E357A"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lastRenderedPageBreak/>
        <w:t>The results showed generally consistent biomass and fishing mortality trajectories among different data truncation scenarios, with no apparent systematic retrospective patterns. The winter–spring and autumn cohort assessments showed relatively small Mohn’s ρ values, with values of 0.07 and −0.05 for biomass and fishing mortality in the winter–spring cohort, and 0.04 and −0.04 in the autumn cohort, respectively, indicating stable model estimates. The stock-wide assessment showed slightly larger Mohn’s ρ values (B = −0.12; F = 0.14), but these values remained within an acceptable range and did not indicate substantial retrospective bias.</w:t>
      </w:r>
    </w:p>
    <w:p w14:paraId="2F1E357B"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all three GAM-based assessment scenarios showed satisfactory retrospective stability, suggesting that the inclusion of additional data did not substantially alter the historical stock estimates.</w:t>
      </w:r>
    </w:p>
    <w:p w14:paraId="2F1E357C" w14:textId="77777777" w:rsidR="00EF649D" w:rsidRDefault="00EA0F7C">
      <w:pPr>
        <w:pStyle w:val="Heading2"/>
        <w:rPr>
          <w:rFonts w:ascii="Times New Roman" w:hAnsi="Times New Roman" w:hint="default"/>
          <w:sz w:val="24"/>
          <w:szCs w:val="24"/>
        </w:rPr>
      </w:pPr>
      <w:r>
        <w:rPr>
          <w:rFonts w:ascii="Times New Roman" w:hAnsi="Times New Roman"/>
          <w:sz w:val="24"/>
          <w:szCs w:val="24"/>
        </w:rPr>
        <w:t>3.5. Projection results</w:t>
      </w:r>
    </w:p>
    <w:p w14:paraId="2F1E357D"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Short-term projections were conducted based on the stock-wide GAM base-case scenario under four constant catch scenarios (10,000, 25,000, 35,000, and 50,000 t yr⁻¹) to evaluate future stock dynamics under different fishing pressure levels (Table </w:t>
      </w:r>
      <w:r>
        <w:rPr>
          <w:rFonts w:ascii="Times New Roman" w:hAnsi="Times New Roman" w:cs="Times New Roman" w:hint="eastAsia"/>
          <w:sz w:val="24"/>
        </w:rPr>
        <w:t>5</w:t>
      </w:r>
      <w:r>
        <w:rPr>
          <w:rFonts w:ascii="Times New Roman" w:hAnsi="Times New Roman" w:cs="Times New Roman"/>
          <w:sz w:val="24"/>
        </w:rPr>
        <w:t>; Fig</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13</w:t>
      </w:r>
      <w:r>
        <w:rPr>
          <w:rFonts w:ascii="Times New Roman" w:hAnsi="Times New Roman" w:cs="Times New Roman"/>
          <w:sz w:val="24"/>
        </w:rPr>
        <w:t>).</w:t>
      </w:r>
    </w:p>
    <w:p w14:paraId="2F1E357E"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The projection results showed a clear response of stock status to different catch levels. Under the low catch scenario (10,000 t yr⁻¹), B/B</w:t>
      </w:r>
      <w:r>
        <w:rPr>
          <w:rFonts w:ascii="Times New Roman" w:hAnsi="Times New Roman" w:cs="Times New Roman"/>
          <w:sz w:val="24"/>
          <w:vertAlign w:val="subscript"/>
        </w:rPr>
        <w:t>MSY</w:t>
      </w:r>
      <w:r>
        <w:rPr>
          <w:rFonts w:ascii="Times New Roman" w:hAnsi="Times New Roman" w:cs="Times New Roman"/>
          <w:sz w:val="24"/>
        </w:rPr>
        <w:t xml:space="preserve"> gradually increased during the projection period and reached 1.0255 in 2030, while F/F</w:t>
      </w:r>
      <w:r>
        <w:rPr>
          <w:rFonts w:ascii="Times New Roman" w:hAnsi="Times New Roman" w:cs="Times New Roman"/>
          <w:sz w:val="24"/>
          <w:vertAlign w:val="subscript"/>
        </w:rPr>
        <w:t>MSY</w:t>
      </w:r>
      <w:r>
        <w:rPr>
          <w:rFonts w:ascii="Times New Roman" w:hAnsi="Times New Roman" w:cs="Times New Roman"/>
          <w:sz w:val="24"/>
        </w:rPr>
        <w:t xml:space="preserve"> remained low (0.1419), indicating a sustainable stock status.</w:t>
      </w:r>
    </w:p>
    <w:p w14:paraId="2F1E357F"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With increasing catch levels, stock risk increased progressively. Under the intermediate catch scenario, the stock showed some potential for recovery, but biomass remained below the B</w:t>
      </w:r>
      <w:r>
        <w:rPr>
          <w:rFonts w:ascii="Times New Roman" w:hAnsi="Times New Roman" w:cs="Times New Roman"/>
          <w:sz w:val="24"/>
          <w:vertAlign w:val="subscript"/>
        </w:rPr>
        <w:t>MSY</w:t>
      </w:r>
      <w:r>
        <w:rPr>
          <w:rFonts w:ascii="Times New Roman" w:hAnsi="Times New Roman" w:cs="Times New Roman"/>
          <w:sz w:val="24"/>
        </w:rPr>
        <w:t xml:space="preserve"> level by 2030. Under the </w:t>
      </w:r>
      <w:proofErr w:type="gramStart"/>
      <w:r>
        <w:rPr>
          <w:rFonts w:ascii="Times New Roman" w:hAnsi="Times New Roman" w:cs="Times New Roman"/>
          <w:sz w:val="24"/>
        </w:rPr>
        <w:t>35,000 t</w:t>
      </w:r>
      <w:proofErr w:type="gramEnd"/>
      <w:r>
        <w:rPr>
          <w:rFonts w:ascii="Times New Roman" w:hAnsi="Times New Roman" w:cs="Times New Roman"/>
          <w:sz w:val="24"/>
        </w:rPr>
        <w:t xml:space="preserve"> scenario, F/F</w:t>
      </w:r>
      <w:r>
        <w:rPr>
          <w:rFonts w:ascii="Times New Roman" w:hAnsi="Times New Roman" w:cs="Times New Roman"/>
          <w:sz w:val="24"/>
          <w:vertAlign w:val="subscript"/>
        </w:rPr>
        <w:t>MSY</w:t>
      </w:r>
      <w:r>
        <w:rPr>
          <w:rFonts w:ascii="Times New Roman" w:hAnsi="Times New Roman" w:cs="Times New Roman"/>
          <w:sz w:val="24"/>
        </w:rPr>
        <w:t xml:space="preserve"> exceeded 1, indicating a risk of overfishing. The </w:t>
      </w:r>
      <w:proofErr w:type="gramStart"/>
      <w:r>
        <w:rPr>
          <w:rFonts w:ascii="Times New Roman" w:hAnsi="Times New Roman" w:cs="Times New Roman"/>
          <w:sz w:val="24"/>
        </w:rPr>
        <w:t>50,000 t</w:t>
      </w:r>
      <w:proofErr w:type="gramEnd"/>
      <w:r>
        <w:rPr>
          <w:rFonts w:ascii="Times New Roman" w:hAnsi="Times New Roman" w:cs="Times New Roman"/>
          <w:sz w:val="24"/>
        </w:rPr>
        <w:t xml:space="preserve"> scenario resulted in a clearly unsustainable stock trajectory.</w:t>
      </w:r>
    </w:p>
    <w:p w14:paraId="2F1E3580"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the projections indicated that reduced fishing pressure would allow stock recovery, whereas maintaining high catch levels would increase the risk of stock depletion.</w:t>
      </w:r>
    </w:p>
    <w:p w14:paraId="2F1E3581" w14:textId="77777777" w:rsidR="00EF649D" w:rsidRDefault="00EA0F7C">
      <w:pPr>
        <w:pStyle w:val="Heading2"/>
        <w:rPr>
          <w:rFonts w:hint="default"/>
        </w:rPr>
      </w:pPr>
      <w:r>
        <w:rPr>
          <w:rFonts w:ascii="Times New Roman" w:hAnsi="Times New Roman"/>
          <w:sz w:val="24"/>
          <w:szCs w:val="24"/>
        </w:rPr>
        <w:t>3.6. Stock status summary</w:t>
      </w:r>
    </w:p>
    <w:p w14:paraId="2F1E3582"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The comparisons of stock status among different CPUE scenarios based on Kobe plots are shown in Fig</w:t>
      </w:r>
      <w:r>
        <w:rPr>
          <w:rFonts w:ascii="Times New Roman" w:hAnsi="Times New Roman" w:cs="Times New Roman" w:hint="eastAsia"/>
          <w:sz w:val="24"/>
        </w:rPr>
        <w:t>s.</w:t>
      </w:r>
      <w:r>
        <w:rPr>
          <w:rFonts w:ascii="Times New Roman" w:hAnsi="Times New Roman" w:cs="Times New Roman"/>
          <w:sz w:val="24"/>
        </w:rPr>
        <w:t xml:space="preserve"> </w:t>
      </w:r>
      <w:r>
        <w:rPr>
          <w:rFonts w:ascii="Times New Roman" w:hAnsi="Times New Roman" w:cs="Times New Roman" w:hint="eastAsia"/>
          <w:sz w:val="24"/>
        </w:rPr>
        <w:t>14-16</w:t>
      </w:r>
      <w:r>
        <w:rPr>
          <w:rFonts w:ascii="Times New Roman" w:hAnsi="Times New Roman" w:cs="Times New Roman"/>
          <w:sz w:val="24"/>
        </w:rPr>
        <w:t xml:space="preserve">. For the winter–spring cohort, all CPUE scenarios indicated that the 2025 stock status </w:t>
      </w:r>
      <w:proofErr w:type="gramStart"/>
      <w:r>
        <w:rPr>
          <w:rFonts w:ascii="Times New Roman" w:hAnsi="Times New Roman" w:cs="Times New Roman"/>
          <w:sz w:val="24"/>
        </w:rPr>
        <w:t>was located in</w:t>
      </w:r>
      <w:proofErr w:type="gramEnd"/>
      <w:r>
        <w:rPr>
          <w:rFonts w:ascii="Times New Roman" w:hAnsi="Times New Roman" w:cs="Times New Roman"/>
          <w:sz w:val="24"/>
        </w:rPr>
        <w:t xml:space="preserve"> the yellow quadrant, representing an overfished but not subject to overfishing status. This indicates that the estimated biomass was below the MSY-related reference level, while the current fishing pressure remained below the F</w:t>
      </w:r>
      <w:r>
        <w:rPr>
          <w:rFonts w:ascii="Times New Roman" w:hAnsi="Times New Roman" w:cs="Times New Roman"/>
          <w:sz w:val="24"/>
          <w:vertAlign w:val="subscript"/>
        </w:rPr>
        <w:t>MSY</w:t>
      </w:r>
      <w:r>
        <w:rPr>
          <w:rFonts w:ascii="Times New Roman" w:hAnsi="Times New Roman" w:cs="Times New Roman" w:hint="eastAsia"/>
          <w:sz w:val="24"/>
        </w:rPr>
        <w:t xml:space="preserve"> </w:t>
      </w:r>
      <w:r>
        <w:rPr>
          <w:rFonts w:ascii="Times New Roman" w:hAnsi="Times New Roman" w:cs="Times New Roman"/>
          <w:sz w:val="24"/>
        </w:rPr>
        <w:t>level. Different CPUE treatments did not change the overall classification of the terminal stock status for this cohort.</w:t>
      </w:r>
    </w:p>
    <w:p w14:paraId="2F1E3583"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lastRenderedPageBreak/>
        <w:t xml:space="preserve">For the autumn cohort, the Nominal CPUE, GAM-, RF-, and GBM-standardized CPUE scenarios all indicated that the 2025 stock status </w:t>
      </w:r>
      <w:proofErr w:type="gramStart"/>
      <w:r>
        <w:rPr>
          <w:rFonts w:ascii="Times New Roman" w:hAnsi="Times New Roman" w:cs="Times New Roman"/>
          <w:sz w:val="24"/>
        </w:rPr>
        <w:t>was located in</w:t>
      </w:r>
      <w:proofErr w:type="gramEnd"/>
      <w:r>
        <w:rPr>
          <w:rFonts w:ascii="Times New Roman" w:hAnsi="Times New Roman" w:cs="Times New Roman"/>
          <w:sz w:val="24"/>
        </w:rPr>
        <w:t xml:space="preserve"> the green quadrant, representing a not overfished and not subject to overfishing status. The consistent stock status classification among different CPUE scenarios suggests that the assessment results for the autumn cohort were relatively insensitive to CPUE standardization methods.</w:t>
      </w:r>
    </w:p>
    <w:p w14:paraId="2F1E3584"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In contrast, the stock-wide assessment showed differences among CPUE scenarios. The Nominal CPUE scenario indicated that the 2025 stock status </w:t>
      </w:r>
      <w:proofErr w:type="gramStart"/>
      <w:r>
        <w:rPr>
          <w:rFonts w:ascii="Times New Roman" w:hAnsi="Times New Roman" w:cs="Times New Roman"/>
          <w:sz w:val="24"/>
        </w:rPr>
        <w:t>was located in</w:t>
      </w:r>
      <w:proofErr w:type="gramEnd"/>
      <w:r>
        <w:rPr>
          <w:rFonts w:ascii="Times New Roman" w:hAnsi="Times New Roman" w:cs="Times New Roman"/>
          <w:sz w:val="24"/>
        </w:rPr>
        <w:t xml:space="preserve"> the green quadrant, whereas the GAM-, RF-, and GBM-standardized CPUE scenarios indicated an overfished but not subject to overfishing status. This difference suggests that CPUE standardization may have a substantial influence on the estimated relative biomass level of the stock-wide population. Since nominal CPUE is influenced not only by stock abundance but also by changes in fishing distribution and fishing operations, its temporal pattern may not fully represent changes in true stock abundance.</w:t>
      </w:r>
    </w:p>
    <w:p w14:paraId="2F1E3585"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the standardized CPUE scenarios showed high consistency among the GAM, RF, and GBM approaches and may reduce the influence of non-abundance-related factors on CPUE trends. Therefore, stock status assessment, particularly for the stock-wide population, should consider standardized CPUE scenarios together with other CPUE information for a comprehensive evaluation.</w:t>
      </w:r>
    </w:p>
    <w:p w14:paraId="2F1E3586" w14:textId="77777777" w:rsidR="00EF649D" w:rsidRDefault="00EA0F7C">
      <w:pPr>
        <w:pStyle w:val="Heading1"/>
        <w:keepNext/>
        <w:keepLines/>
        <w:rPr>
          <w:rFonts w:ascii="Times New Roman" w:hAnsi="Times New Roman" w:hint="default"/>
          <w:sz w:val="28"/>
          <w:szCs w:val="28"/>
        </w:rPr>
      </w:pPr>
      <w:r>
        <w:rPr>
          <w:rFonts w:ascii="Times New Roman" w:hAnsi="Times New Roman" w:hint="default"/>
          <w:sz w:val="28"/>
          <w:szCs w:val="28"/>
        </w:rPr>
        <w:t>4. Discussion</w:t>
      </w:r>
    </w:p>
    <w:p w14:paraId="2F1E3587"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This study presents an updated stock assessment of neon flying squid in the Northwest Pacific Ocean using the JABBA model, incorporating NPFC-compiled catch data and Chinese squid-jigging CPUE series updated through 2025. All assessment scenarios showed satisfactory convergence and model diagnostics, and retrospective analyses indicated overall stability of the model estimates.</w:t>
      </w:r>
    </w:p>
    <w:p w14:paraId="2F1E3588"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The assessment results showed that stock status estimates were influenced by both stock-unit definition and CPUE selection. The autumn cohort exhibited relatively consistent and favorable stock status among different CPUE scenarios, whereas the winter–spring cohort and stock-wide assessments showed more conservative biomass estimates when standardized CPUE indices were applied. Despite differences in the magnitude of estimated biomass among scenarios, all assessment scenarios indicated that current fishing pressure remained below the MSY-based reference level.</w:t>
      </w:r>
    </w:p>
    <w:p w14:paraId="2F1E3589"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differences between nominal and standardized CPUE scenarios highlight the importance of accounting for non-abundance-related factors in CPUE-based assessments. Commercial CPUE may be affected by spatial aggregation of fishing </w:t>
      </w:r>
      <w:r>
        <w:rPr>
          <w:rFonts w:ascii="Times New Roman" w:hAnsi="Times New Roman" w:cs="Times New Roman"/>
          <w:sz w:val="24"/>
        </w:rPr>
        <w:lastRenderedPageBreak/>
        <w:t>vessels and targeted fishing strategies, leading to potential hyperstability risks. However, due to the lack of independent biomass survey data, the CPUE–biomass relationship was not further evaluated in this study and should be investigated in future assessments.</w:t>
      </w:r>
    </w:p>
    <w:p w14:paraId="2F1E358A" w14:textId="77777777" w:rsidR="00EF649D" w:rsidRDefault="00EA0F7C">
      <w:pPr>
        <w:spacing w:line="276" w:lineRule="auto"/>
        <w:ind w:firstLineChars="200" w:firstLine="480"/>
        <w:rPr>
          <w:rFonts w:ascii="Times New Roman" w:hAnsi="Times New Roman" w:cs="Times New Roman"/>
          <w:sz w:val="24"/>
        </w:rPr>
      </w:pPr>
      <w:r>
        <w:rPr>
          <w:rFonts w:ascii="Times New Roman" w:hAnsi="Times New Roman" w:cs="Times New Roman"/>
          <w:sz w:val="24"/>
        </w:rPr>
        <w:t>Overall, this assessment provides updated information on the stock status of neon flying squid and highlights the importance of considering multiple CPUE scenarios when evaluating stock status under the NPFC management framework.</w:t>
      </w:r>
    </w:p>
    <w:p w14:paraId="2F1E358B" w14:textId="77777777" w:rsidR="00EF649D" w:rsidRDefault="00EF649D">
      <w:pPr>
        <w:rPr>
          <w:rFonts w:ascii="Times New Roman" w:hAnsi="Times New Roman" w:cs="Times New Roman"/>
        </w:rPr>
      </w:pPr>
    </w:p>
    <w:p w14:paraId="2F1E358C" w14:textId="77777777" w:rsidR="00EF649D" w:rsidRDefault="00EF649D">
      <w:pPr>
        <w:rPr>
          <w:rFonts w:ascii="Times New Roman" w:hAnsi="Times New Roman" w:cs="Times New Roman"/>
        </w:rPr>
      </w:pPr>
    </w:p>
    <w:p w14:paraId="2F1E358D" w14:textId="77777777" w:rsidR="00EF649D" w:rsidRDefault="00EF649D">
      <w:pPr>
        <w:rPr>
          <w:rFonts w:ascii="Times New Roman" w:hAnsi="Times New Roman" w:cs="Times New Roman"/>
        </w:rPr>
      </w:pPr>
    </w:p>
    <w:p w14:paraId="2F1E358E" w14:textId="77777777" w:rsidR="00EF649D" w:rsidRDefault="00EF649D">
      <w:pPr>
        <w:rPr>
          <w:rFonts w:ascii="Times New Roman" w:hAnsi="Times New Roman" w:cs="Times New Roman"/>
        </w:rPr>
      </w:pPr>
    </w:p>
    <w:p w14:paraId="2F1E358F" w14:textId="77777777" w:rsidR="00EF649D" w:rsidRDefault="00EF649D">
      <w:pPr>
        <w:rPr>
          <w:rFonts w:ascii="Times New Roman" w:hAnsi="Times New Roman" w:cs="Times New Roman"/>
        </w:rPr>
      </w:pPr>
    </w:p>
    <w:p w14:paraId="2F1E3590" w14:textId="77777777" w:rsidR="00EF649D" w:rsidRDefault="00EF649D">
      <w:pPr>
        <w:rPr>
          <w:rFonts w:ascii="Times New Roman" w:hAnsi="Times New Roman" w:cs="Times New Roman"/>
        </w:rPr>
      </w:pPr>
    </w:p>
    <w:p w14:paraId="2F1E3591" w14:textId="77777777" w:rsidR="00EF649D" w:rsidRDefault="00EA0F7C">
      <w:pPr>
        <w:pStyle w:val="Heading1"/>
        <w:keepNext/>
        <w:keepLines/>
        <w:spacing w:afterAutospacing="0"/>
        <w:rPr>
          <w:rFonts w:ascii="Times New Roman" w:hAnsi="Times New Roman" w:hint="default"/>
        </w:rPr>
      </w:pPr>
      <w:r>
        <w:rPr>
          <w:rFonts w:ascii="Times New Roman" w:hAnsi="Times New Roman" w:hint="default"/>
          <w:sz w:val="28"/>
          <w:szCs w:val="28"/>
        </w:rPr>
        <w:t>References</w:t>
      </w:r>
    </w:p>
    <w:p w14:paraId="2F1E3592" w14:textId="77777777" w:rsidR="00EF649D" w:rsidRDefault="00EA0F7C">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sz w:val="24"/>
        </w:rPr>
        <w:t>Yatsu</w:t>
      </w:r>
      <w:proofErr w:type="spellEnd"/>
      <w:r>
        <w:rPr>
          <w:rFonts w:ascii="Times New Roman" w:hAnsi="Times New Roman" w:cs="Times New Roman"/>
          <w:sz w:val="24"/>
        </w:rPr>
        <w:t xml:space="preserve"> A, Midorikawa S, Shimada T, </w:t>
      </w:r>
      <w:proofErr w:type="spellStart"/>
      <w:r>
        <w:rPr>
          <w:rFonts w:ascii="Times New Roman" w:hAnsi="Times New Roman" w:cs="Times New Roman" w:hint="eastAsia"/>
          <w:sz w:val="24"/>
        </w:rPr>
        <w:t>Uozumi</w:t>
      </w:r>
      <w:proofErr w:type="spellEnd"/>
      <w:r>
        <w:rPr>
          <w:rFonts w:ascii="Times New Roman" w:hAnsi="Times New Roman" w:cs="Times New Roman" w:hint="eastAsia"/>
          <w:sz w:val="24"/>
        </w:rPr>
        <w:t xml:space="preserve"> Y</w:t>
      </w:r>
      <w:r>
        <w:rPr>
          <w:rFonts w:ascii="Times New Roman" w:hAnsi="Times New Roman" w:cs="Times New Roman"/>
          <w:sz w:val="24"/>
        </w:rPr>
        <w:t xml:space="preserve">. 1997. Age and growth of 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w:t>
      </w:r>
      <w:proofErr w:type="spellEnd"/>
      <w:r>
        <w:rPr>
          <w:rFonts w:ascii="Times New Roman" w:hAnsi="Times New Roman" w:cs="Times New Roman"/>
          <w:sz w:val="24"/>
        </w:rPr>
        <w:t>, in the North Pacific Ocean. Fisheries Research, 29: 257-270.</w:t>
      </w:r>
    </w:p>
    <w:p w14:paraId="2F1E3593" w14:textId="77777777" w:rsidR="00EF649D" w:rsidRPr="005C611D" w:rsidRDefault="00EA0F7C">
      <w:pPr>
        <w:spacing w:line="276" w:lineRule="auto"/>
        <w:ind w:left="480" w:hangingChars="200" w:hanging="480"/>
      </w:pPr>
      <w:r>
        <w:rPr>
          <w:rFonts w:ascii="Times New Roman" w:hAnsi="Times New Roman" w:cs="Times New Roman"/>
          <w:sz w:val="24"/>
        </w:rPr>
        <w:t>Wang J</w:t>
      </w:r>
      <w:r>
        <w:rPr>
          <w:rFonts w:ascii="Times New Roman" w:hAnsi="Times New Roman" w:cs="Times New Roman" w:hint="eastAsia"/>
          <w:sz w:val="24"/>
        </w:rPr>
        <w:t xml:space="preserve"> T</w:t>
      </w:r>
      <w:r>
        <w:rPr>
          <w:rFonts w:ascii="Times New Roman" w:hAnsi="Times New Roman" w:cs="Times New Roman"/>
          <w:sz w:val="24"/>
        </w:rPr>
        <w:t>, Yu W, Chen X</w:t>
      </w:r>
      <w:r>
        <w:rPr>
          <w:rFonts w:ascii="Times New Roman" w:hAnsi="Times New Roman" w:cs="Times New Roman" w:hint="eastAsia"/>
          <w:sz w:val="24"/>
        </w:rPr>
        <w:t xml:space="preserve"> J</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Chen Y. 2016. Stock assessment for the western winter-spring cohort of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using environmentally dependent surplus production models. </w:t>
      </w:r>
      <w:r w:rsidRPr="005C611D">
        <w:rPr>
          <w:rFonts w:ascii="Times New Roman" w:hAnsi="Times New Roman" w:cs="Times New Roman"/>
          <w:sz w:val="24"/>
        </w:rPr>
        <w:t>Scientia Marina, 80(1)</w:t>
      </w:r>
      <w:r w:rsidRPr="005C611D">
        <w:rPr>
          <w:rFonts w:ascii="Times New Roman" w:hAnsi="Times New Roman" w:cs="Times New Roman" w:hint="eastAsia"/>
          <w:sz w:val="24"/>
        </w:rPr>
        <w:t xml:space="preserve">: </w:t>
      </w:r>
      <w:r w:rsidRPr="005C611D">
        <w:rPr>
          <w:rFonts w:ascii="Times New Roman" w:hAnsi="Times New Roman" w:cs="Times New Roman"/>
          <w:sz w:val="24"/>
        </w:rPr>
        <w:t>69-78.</w:t>
      </w:r>
    </w:p>
    <w:p w14:paraId="2F1E3594" w14:textId="77777777" w:rsidR="00EF649D" w:rsidRDefault="00EA0F7C">
      <w:pPr>
        <w:spacing w:line="276" w:lineRule="auto"/>
        <w:ind w:left="480" w:hangingChars="200" w:hanging="480"/>
        <w:rPr>
          <w:rFonts w:ascii="Times New Roman" w:hAnsi="Times New Roman" w:cs="Times New Roman"/>
          <w:sz w:val="24"/>
        </w:rPr>
      </w:pPr>
      <w:r>
        <w:rPr>
          <w:rFonts w:ascii="Times New Roman" w:hAnsi="Times New Roman" w:cs="Times New Roman"/>
          <w:sz w:val="24"/>
        </w:rPr>
        <w:t>Winker H, Carvalho F, Kapur, M.</w:t>
      </w:r>
      <w:r>
        <w:rPr>
          <w:rFonts w:ascii="Times New Roman" w:hAnsi="Times New Roman" w:cs="Times New Roman" w:hint="eastAsia"/>
          <w:sz w:val="24"/>
        </w:rPr>
        <w:t xml:space="preserve"> </w:t>
      </w:r>
      <w:r>
        <w:rPr>
          <w:rFonts w:ascii="Times New Roman" w:hAnsi="Times New Roman" w:cs="Times New Roman"/>
          <w:sz w:val="24"/>
        </w:rPr>
        <w:t>2018. JABBA</w:t>
      </w:r>
      <w:r>
        <w:rPr>
          <w:rFonts w:ascii="Times New Roman" w:hAnsi="Times New Roman" w:cs="Times New Roman" w:hint="eastAsia"/>
          <w:sz w:val="24"/>
        </w:rPr>
        <w:t>:</w:t>
      </w:r>
      <w:r>
        <w:rPr>
          <w:rFonts w:ascii="Times New Roman" w:hAnsi="Times New Roman" w:cs="Times New Roman"/>
          <w:sz w:val="24"/>
        </w:rPr>
        <w:t xml:space="preserve"> Just Another Bayesian Biomass Assessment. Fisheries Research, 204</w:t>
      </w:r>
      <w:r>
        <w:rPr>
          <w:rFonts w:ascii="Times New Roman" w:hAnsi="Times New Roman" w:cs="Times New Roman" w:hint="eastAsia"/>
          <w:sz w:val="24"/>
        </w:rPr>
        <w:t xml:space="preserve">: </w:t>
      </w:r>
      <w:r>
        <w:rPr>
          <w:rFonts w:ascii="Times New Roman" w:hAnsi="Times New Roman" w:cs="Times New Roman"/>
          <w:sz w:val="24"/>
        </w:rPr>
        <w:t>275-288.</w:t>
      </w:r>
    </w:p>
    <w:p w14:paraId="2F1E3595" w14:textId="77777777" w:rsidR="00EF649D" w:rsidRPr="005C611D" w:rsidRDefault="00EA0F7C">
      <w:pPr>
        <w:spacing w:line="276" w:lineRule="auto"/>
        <w:ind w:left="480" w:hangingChars="200" w:hanging="480"/>
        <w:rPr>
          <w:rFonts w:ascii="Times New Roman" w:hAnsi="Times New Roman" w:cs="Times New Roman"/>
          <w:sz w:val="24"/>
        </w:rPr>
      </w:pPr>
      <w:r>
        <w:rPr>
          <w:rFonts w:ascii="Times New Roman" w:hAnsi="Times New Roman" w:cs="Times New Roman"/>
          <w:sz w:val="24"/>
        </w:rPr>
        <w:t>Chen X J, Chen Y, Tian S Q, Liu B L and Qian W G. 2008. An assessment of the west winter–spring cohort of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in the Northwest Pacific Ocean. Fisheries Research, 92(2-3), 221-230.</w:t>
      </w:r>
    </w:p>
    <w:p w14:paraId="2F1E3596" w14:textId="77777777" w:rsidR="00EF649D" w:rsidRDefault="00EA0F7C">
      <w:pPr>
        <w:spacing w:line="276" w:lineRule="auto"/>
        <w:ind w:left="480" w:hangingChars="200" w:hanging="480"/>
        <w:rPr>
          <w:rFonts w:ascii="Times New Roman" w:hAnsi="Times New Roman" w:cs="Times New Roman"/>
          <w:sz w:val="24"/>
        </w:rPr>
      </w:pPr>
      <w:proofErr w:type="spellStart"/>
      <w:r w:rsidRPr="005C611D">
        <w:rPr>
          <w:rFonts w:ascii="Times New Roman" w:hAnsi="Times New Roman" w:cs="Times New Roman"/>
          <w:sz w:val="24"/>
        </w:rPr>
        <w:t>Ichii</w:t>
      </w:r>
      <w:proofErr w:type="spellEnd"/>
      <w:r w:rsidRPr="005C611D">
        <w:rPr>
          <w:rFonts w:ascii="Times New Roman" w:hAnsi="Times New Roman" w:cs="Times New Roman"/>
          <w:sz w:val="24"/>
        </w:rPr>
        <w:t xml:space="preserve"> T, Mahapatra</w:t>
      </w:r>
      <w:r>
        <w:rPr>
          <w:rFonts w:ascii="Times New Roman" w:hAnsi="Times New Roman" w:cs="Times New Roman" w:hint="eastAsia"/>
          <w:sz w:val="24"/>
        </w:rPr>
        <w:t xml:space="preserve"> </w:t>
      </w:r>
      <w:r w:rsidRPr="005C611D">
        <w:rPr>
          <w:rFonts w:ascii="Times New Roman" w:hAnsi="Times New Roman" w:cs="Times New Roman"/>
          <w:sz w:val="24"/>
        </w:rPr>
        <w:t>K, Okamura, H</w:t>
      </w:r>
      <w:r w:rsidRPr="005C611D">
        <w:rPr>
          <w:rFonts w:ascii="Times New Roman" w:hAnsi="Times New Roman" w:cs="Times New Roman" w:hint="eastAsia"/>
          <w:sz w:val="24"/>
        </w:rPr>
        <w:t xml:space="preserve"> et al</w:t>
      </w:r>
      <w:r w:rsidRPr="005C611D">
        <w:rPr>
          <w:rFonts w:ascii="Times New Roman" w:hAnsi="Times New Roman" w:cs="Times New Roman"/>
          <w:sz w:val="24"/>
        </w:rPr>
        <w:t>. 2006</w:t>
      </w:r>
      <w:r w:rsidRPr="005C611D">
        <w:rPr>
          <w:rFonts w:ascii="Times New Roman" w:hAnsi="Times New Roman" w:cs="Times New Roman" w:hint="eastAsia"/>
          <w:sz w:val="24"/>
        </w:rPr>
        <w:t xml:space="preserve">. </w:t>
      </w:r>
      <w:r>
        <w:rPr>
          <w:rFonts w:ascii="Times New Roman" w:hAnsi="Times New Roman" w:cs="Times New Roman"/>
          <w:sz w:val="24"/>
        </w:rPr>
        <w:t>Stock assessment of the autumn cohort of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in the North Pacific based on past large-scale high seas driftnet fishery data. Fisheries Research, 78: 286–297.</w:t>
      </w:r>
    </w:p>
    <w:p w14:paraId="2F1E3597" w14:textId="77777777" w:rsidR="00EF649D" w:rsidRDefault="00EA0F7C">
      <w:pPr>
        <w:spacing w:line="276" w:lineRule="auto"/>
        <w:ind w:left="480" w:hangingChars="200" w:hanging="480"/>
        <w:rPr>
          <w:rFonts w:ascii="Times New Roman" w:hAnsi="Times New Roman" w:cs="Times New Roman"/>
          <w:sz w:val="24"/>
        </w:rPr>
      </w:pPr>
      <w:r>
        <w:rPr>
          <w:rFonts w:ascii="Times New Roman" w:hAnsi="Times New Roman" w:cs="Times New Roman"/>
          <w:sz w:val="24"/>
        </w:rPr>
        <w:t>Gelman A</w:t>
      </w:r>
      <w:r>
        <w:rPr>
          <w:rFonts w:ascii="Times New Roman" w:hAnsi="Times New Roman" w:cs="Times New Roman" w:hint="eastAsia"/>
          <w:sz w:val="24"/>
        </w:rPr>
        <w:t>,</w:t>
      </w:r>
      <w:r>
        <w:rPr>
          <w:rFonts w:ascii="Times New Roman" w:hAnsi="Times New Roman" w:cs="Times New Roman"/>
          <w:sz w:val="24"/>
        </w:rPr>
        <w:t xml:space="preserve"> Rubin D</w:t>
      </w:r>
      <w:r>
        <w:rPr>
          <w:rFonts w:ascii="Times New Roman" w:hAnsi="Times New Roman" w:cs="Times New Roman" w:hint="eastAsia"/>
          <w:sz w:val="24"/>
        </w:rPr>
        <w:t xml:space="preserve"> </w:t>
      </w:r>
      <w:r>
        <w:rPr>
          <w:rFonts w:ascii="Times New Roman" w:hAnsi="Times New Roman" w:cs="Times New Roman"/>
          <w:sz w:val="24"/>
        </w:rPr>
        <w:t>B</w:t>
      </w:r>
      <w:r>
        <w:rPr>
          <w:rFonts w:ascii="Times New Roman" w:hAnsi="Times New Roman" w:cs="Times New Roman" w:hint="eastAsia"/>
          <w:sz w:val="24"/>
        </w:rPr>
        <w:t>.</w:t>
      </w:r>
      <w:r>
        <w:rPr>
          <w:rFonts w:ascii="Times New Roman" w:hAnsi="Times New Roman" w:cs="Times New Roman"/>
          <w:sz w:val="24"/>
        </w:rPr>
        <w:t>1992. Inference from Iterative Simulation Using Multiple Sequences. Statistical Science, 7(4), 457–472.</w:t>
      </w:r>
    </w:p>
    <w:p w14:paraId="2F1E3598" w14:textId="77777777" w:rsidR="00EF649D" w:rsidRDefault="00EA0F7C">
      <w:pPr>
        <w:spacing w:line="276" w:lineRule="auto"/>
        <w:ind w:left="480" w:hangingChars="200" w:hanging="480"/>
        <w:rPr>
          <w:rFonts w:ascii="Times New Roman" w:hAnsi="Times New Roman" w:cs="Times New Roman"/>
          <w:sz w:val="24"/>
        </w:rPr>
      </w:pPr>
      <w:r>
        <w:rPr>
          <w:rFonts w:ascii="Times New Roman" w:hAnsi="Times New Roman" w:cs="Times New Roman"/>
          <w:sz w:val="24"/>
        </w:rPr>
        <w:t>Mohn, R. 1999. The retrospective problem in sequential population analysis: An investigation using cod fishery and simulated data. ICES J. Mar. Sci. 56, 473-488.</w:t>
      </w:r>
    </w:p>
    <w:p w14:paraId="2F1E3599" w14:textId="77777777" w:rsidR="00EF649D" w:rsidRDefault="00EF649D">
      <w:pPr>
        <w:rPr>
          <w:rFonts w:ascii="Times New Roman" w:hAnsi="Times New Roman" w:cs="Times New Roman"/>
        </w:rPr>
      </w:pPr>
    </w:p>
    <w:p w14:paraId="2F1E359A" w14:textId="77777777" w:rsidR="00EF649D" w:rsidRDefault="00EF649D">
      <w:pPr>
        <w:rPr>
          <w:rFonts w:ascii="Times New Roman" w:hAnsi="Times New Roman" w:cs="Times New Roman"/>
        </w:rPr>
      </w:pPr>
    </w:p>
    <w:p w14:paraId="2F1E359B" w14:textId="77777777" w:rsidR="00EF649D" w:rsidRDefault="00EF649D">
      <w:pPr>
        <w:rPr>
          <w:rFonts w:ascii="Times New Roman" w:hAnsi="Times New Roman" w:cs="Times New Roman"/>
        </w:rPr>
      </w:pPr>
    </w:p>
    <w:p w14:paraId="2F1E359C" w14:textId="77777777" w:rsidR="00EF649D" w:rsidRDefault="00EF649D">
      <w:pPr>
        <w:rPr>
          <w:rFonts w:ascii="Times New Roman" w:hAnsi="Times New Roman" w:cs="Times New Roman"/>
        </w:rPr>
      </w:pPr>
    </w:p>
    <w:p w14:paraId="2F1E359D" w14:textId="77777777" w:rsidR="00EF649D" w:rsidRDefault="00EA0F7C">
      <w:pPr>
        <w:rPr>
          <w:rFonts w:ascii="Times New Roman" w:hAnsi="Times New Roman" w:cs="Times New Roman"/>
          <w:b/>
          <w:bCs/>
          <w:sz w:val="28"/>
          <w:szCs w:val="28"/>
        </w:rPr>
      </w:pPr>
      <w:r>
        <w:rPr>
          <w:rFonts w:ascii="Times New Roman" w:hAnsi="Times New Roman" w:cs="Times New Roman"/>
          <w:b/>
          <w:bCs/>
          <w:sz w:val="28"/>
          <w:szCs w:val="28"/>
        </w:rPr>
        <w:lastRenderedPageBreak/>
        <w:t>APPENDI</w:t>
      </w:r>
      <w:r>
        <w:rPr>
          <w:rFonts w:ascii="Times New Roman" w:hAnsi="Times New Roman" w:cs="Times New Roman" w:hint="eastAsia"/>
          <w:b/>
          <w:bCs/>
          <w:sz w:val="28"/>
          <w:szCs w:val="28"/>
        </w:rPr>
        <w:t>X</w:t>
      </w:r>
    </w:p>
    <w:p w14:paraId="2F1E359E" w14:textId="77777777" w:rsidR="00EF649D" w:rsidRDefault="00EA0F7C">
      <w:pPr>
        <w:rPr>
          <w:rFonts w:ascii="Times New Roman" w:hAnsi="Times New Roman" w:cs="Times New Roman"/>
        </w:rPr>
      </w:pPr>
      <w:r>
        <w:rPr>
          <w:rFonts w:ascii="Times New Roman" w:hAnsi="Times New Roman" w:cs="Times New Roman"/>
        </w:rPr>
        <w:t xml:space="preserve">Appendix1. Checklist for the </w:t>
      </w:r>
      <w:r>
        <w:rPr>
          <w:rFonts w:ascii="Times New Roman" w:hAnsi="Times New Roman" w:cs="Times New Roman"/>
          <w:szCs w:val="21"/>
        </w:rPr>
        <w:t xml:space="preserve">Stock assessment </w:t>
      </w:r>
      <w:r>
        <w:rPr>
          <w:rFonts w:ascii="Times New Roman" w:hAnsi="Times New Roman" w:cs="Times New Roman"/>
        </w:rPr>
        <w:t>protocol</w:t>
      </w:r>
    </w:p>
    <w:tbl>
      <w:tblPr>
        <w:tblW w:w="4854" w:type="pct"/>
        <w:jc w:val="center"/>
        <w:tblCellMar>
          <w:top w:w="15" w:type="dxa"/>
          <w:left w:w="15" w:type="dxa"/>
          <w:bottom w:w="15" w:type="dxa"/>
          <w:right w:w="15" w:type="dxa"/>
        </w:tblCellMar>
        <w:tblLook w:val="04A0" w:firstRow="1" w:lastRow="0" w:firstColumn="1" w:lastColumn="0" w:noHBand="0" w:noVBand="1"/>
      </w:tblPr>
      <w:tblGrid>
        <w:gridCol w:w="645"/>
        <w:gridCol w:w="5666"/>
        <w:gridCol w:w="1939"/>
      </w:tblGrid>
      <w:tr w:rsidR="00EF649D" w14:paraId="2F1E35A2" w14:textId="77777777">
        <w:trPr>
          <w:trHeight w:val="510"/>
          <w:jc w:val="center"/>
        </w:trPr>
        <w:tc>
          <w:tcPr>
            <w:tcW w:w="390" w:type="pct"/>
            <w:tcBorders>
              <w:top w:val="single" w:sz="12" w:space="0" w:color="000000"/>
              <w:left w:val="nil"/>
              <w:bottom w:val="single" w:sz="4" w:space="0" w:color="000000"/>
              <w:right w:val="nil"/>
              <w:tl2br w:val="nil"/>
            </w:tcBorders>
            <w:shd w:val="clear" w:color="auto" w:fill="FFFFFF"/>
            <w:tcMar>
              <w:top w:w="96" w:type="dxa"/>
              <w:left w:w="96" w:type="dxa"/>
              <w:bottom w:w="96" w:type="dxa"/>
              <w:right w:w="96" w:type="dxa"/>
            </w:tcMar>
            <w:vAlign w:val="center"/>
          </w:tcPr>
          <w:p w14:paraId="2F1E359F"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1</w:t>
            </w:r>
          </w:p>
        </w:tc>
        <w:tc>
          <w:tcPr>
            <w:tcW w:w="3433" w:type="pct"/>
            <w:tcBorders>
              <w:top w:val="single" w:sz="12"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0"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Identify the data that will be available to the stock assessment</w:t>
            </w:r>
            <w:r>
              <w:rPr>
                <w:rFonts w:ascii="Times New Roman" w:eastAsia="SimSun" w:hAnsi="Times New Roman" w:cs="Times New Roman" w:hint="eastAsia"/>
                <w:color w:val="000000"/>
                <w:kern w:val="0"/>
                <w:szCs w:val="21"/>
                <w:lang w:bidi="ar"/>
              </w:rPr>
              <w:t>.</w:t>
            </w:r>
          </w:p>
        </w:tc>
        <w:tc>
          <w:tcPr>
            <w:tcW w:w="1175" w:type="pct"/>
            <w:tcBorders>
              <w:top w:val="single" w:sz="12"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1" w14:textId="77777777" w:rsidR="00EF649D" w:rsidRDefault="00EA0F7C">
            <w:pPr>
              <w:jc w:val="center"/>
              <w:rPr>
                <w:rFonts w:ascii="Times New Roman" w:eastAsia="SimSu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2.1</w:t>
            </w:r>
            <w:r>
              <w:rPr>
                <w:rFonts w:ascii="Times New Roman" w:eastAsia="SimSun" w:hAnsi="Times New Roman" w:cs="Times New Roman"/>
                <w:color w:val="000000"/>
                <w:szCs w:val="21"/>
                <w:shd w:val="clear" w:color="auto" w:fill="FFFFFF"/>
              </w:rPr>
              <w:t>)</w:t>
            </w:r>
          </w:p>
        </w:tc>
      </w:tr>
      <w:tr w:rsidR="00EF649D" w14:paraId="2F1E35A7"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3"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2</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4" w14:textId="77777777" w:rsidR="00EF649D" w:rsidRDefault="00EA0F7C">
            <w:pPr>
              <w:widowControl/>
              <w:jc w:val="center"/>
              <w:rPr>
                <w:color w:val="000000"/>
                <w:szCs w:val="21"/>
              </w:rPr>
            </w:pPr>
            <w:r>
              <w:rPr>
                <w:rFonts w:ascii="Times New Roman" w:eastAsia="SimSun" w:hAnsi="Times New Roman" w:cs="Times New Roman"/>
                <w:color w:val="000000"/>
                <w:kern w:val="0"/>
                <w:szCs w:val="21"/>
                <w:lang w:bidi="ar"/>
              </w:rPr>
              <w:t>Evaluate data quality and quantity and potential error sources (e.g., sampling errors,</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measurement errors, and associated statistical property (e.g., biased or random errors, statistical</w:t>
            </w:r>
          </w:p>
          <w:p w14:paraId="2F1E35A5"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distribution) to ensure that the best available information is used in the assessment</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6"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2.1</w:t>
            </w:r>
            <w:r>
              <w:rPr>
                <w:rFonts w:ascii="Times New Roman" w:eastAsia="SimSun" w:hAnsi="Times New Roman" w:cs="Times New Roman" w:hint="eastAsia"/>
                <w:color w:val="000000"/>
                <w:szCs w:val="21"/>
                <w:shd w:val="clear" w:color="auto" w:fill="FFFFFF"/>
              </w:rPr>
              <w:t xml:space="preserve"> and 2.3</w:t>
            </w:r>
            <w:r>
              <w:rPr>
                <w:rFonts w:ascii="Times New Roman" w:hAnsi="Times New Roman" w:cs="Times New Roman"/>
                <w:color w:val="000000"/>
                <w:szCs w:val="21"/>
              </w:rPr>
              <w:t>)</w:t>
            </w:r>
          </w:p>
        </w:tc>
      </w:tr>
      <w:tr w:rsidR="00EF649D" w14:paraId="2F1E35AB"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8"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3</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9"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Select population models describing the dynamics of the stock and observational models linking</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population variables with the observed variables</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A"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w:t>
            </w:r>
            <w:r>
              <w:rPr>
                <w:rFonts w:ascii="Times New Roman" w:eastAsia="SimSun" w:hAnsi="Times New Roman" w:cs="Times New Roman" w:hint="eastAsia"/>
                <w:color w:val="000000"/>
                <w:szCs w:val="21"/>
                <w:shd w:val="clear" w:color="auto" w:fill="FFFFFF"/>
              </w:rPr>
              <w:t>2 and 2.3</w:t>
            </w:r>
            <w:r>
              <w:rPr>
                <w:rFonts w:ascii="Times New Roman" w:hAnsi="Times New Roman" w:cs="Times New Roman"/>
                <w:color w:val="000000"/>
                <w:szCs w:val="21"/>
              </w:rPr>
              <w:t>)</w:t>
            </w:r>
          </w:p>
        </w:tc>
      </w:tr>
      <w:tr w:rsidR="00EF649D" w14:paraId="2F1E35AF"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C"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4</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D"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base case scenarios and alternative scenarios for sensitivity analyses</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AE"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w:t>
            </w:r>
            <w:r>
              <w:rPr>
                <w:rFonts w:ascii="Times New Roman" w:eastAsia="SimSun" w:hAnsi="Times New Roman" w:cs="Times New Roman" w:hint="eastAsia"/>
                <w:color w:val="000000"/>
                <w:szCs w:val="21"/>
                <w:shd w:val="clear" w:color="auto" w:fill="FFFFFF"/>
              </w:rPr>
              <w:t>2</w:t>
            </w:r>
            <w:r>
              <w:rPr>
                <w:rFonts w:ascii="Times New Roman" w:hAnsi="Times New Roman" w:cs="Times New Roman"/>
                <w:color w:val="000000"/>
                <w:szCs w:val="21"/>
              </w:rPr>
              <w:t>)</w:t>
            </w:r>
          </w:p>
        </w:tc>
      </w:tr>
      <w:tr w:rsidR="00EF649D" w14:paraId="2F1E35B4"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0"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5</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1"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fit the model to the data, diagnostics of model convergence, plot and evaluate residual patterns, and evaluate biological implications of the estimated parameters</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2" w14:textId="77777777" w:rsidR="00EF649D" w:rsidRDefault="00EA0F7C">
            <w:pPr>
              <w:jc w:val="center"/>
              <w:rPr>
                <w:rFonts w:ascii="Times New Roman" w:eastAsia="SimSun" w:hAnsi="Times New Roman" w:cs="Times New Roman"/>
                <w:color w:val="000000"/>
                <w:szCs w:val="21"/>
                <w:shd w:val="clear" w:color="auto" w:fill="FFFFFF"/>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w:t>
            </w:r>
            <w:r>
              <w:rPr>
                <w:rFonts w:ascii="Times New Roman" w:eastAsia="SimSun" w:hAnsi="Times New Roman" w:cs="Times New Roman" w:hint="eastAsia"/>
                <w:color w:val="000000"/>
                <w:szCs w:val="21"/>
                <w:shd w:val="clear" w:color="auto" w:fill="FFFFFF"/>
              </w:rPr>
              <w:t>s</w:t>
            </w:r>
            <w:r>
              <w:rPr>
                <w:rFonts w:ascii="Times New Roman" w:eastAsia="Segoe UI" w:hAnsi="Times New Roman" w:cs="Times New Roman"/>
                <w:color w:val="000000"/>
                <w:szCs w:val="21"/>
                <w:shd w:val="clear" w:color="auto" w:fill="FFFFFF"/>
              </w:rPr>
              <w:t xml:space="preserve">. </w:t>
            </w:r>
            <w:r>
              <w:rPr>
                <w:rFonts w:ascii="Times New Roman" w:eastAsia="SimSun" w:hAnsi="Times New Roman" w:cs="Times New Roman" w:hint="eastAsia"/>
                <w:color w:val="000000"/>
                <w:szCs w:val="21"/>
                <w:shd w:val="clear" w:color="auto" w:fill="FFFFFF"/>
              </w:rPr>
              <w:t>3</w:t>
            </w:r>
            <w:r>
              <w:rPr>
                <w:rFonts w:ascii="Times New Roman" w:eastAsia="Segoe UI" w:hAnsi="Times New Roman" w:cs="Times New Roman"/>
                <w:color w:val="000000"/>
                <w:szCs w:val="21"/>
                <w:shd w:val="clear" w:color="auto" w:fill="FFFFFF"/>
              </w:rPr>
              <w:t>-</w:t>
            </w:r>
            <w:r>
              <w:rPr>
                <w:rFonts w:ascii="Times New Roman" w:eastAsia="SimSun" w:hAnsi="Times New Roman" w:cs="Times New Roman" w:hint="eastAsia"/>
                <w:color w:val="000000"/>
                <w:szCs w:val="21"/>
                <w:shd w:val="clear" w:color="auto" w:fill="FFFFFF"/>
              </w:rPr>
              <w:t>6,</w:t>
            </w:r>
          </w:p>
          <w:p w14:paraId="2F1E35B3" w14:textId="77777777" w:rsidR="00EF649D" w:rsidRDefault="00EA0F7C">
            <w:pPr>
              <w:jc w:val="center"/>
              <w:rPr>
                <w:rFonts w:ascii="Times New Roman" w:hAnsi="Times New Roman" w:cs="Times New Roman"/>
                <w:color w:val="000000"/>
                <w:szCs w:val="21"/>
              </w:rPr>
            </w:pPr>
            <w:r>
              <w:rPr>
                <w:rFonts w:ascii="Times New Roman" w:eastAsia="Segoe UI" w:hAnsi="Times New Roman" w:cs="Times New Roman"/>
                <w:color w:val="000000"/>
                <w:szCs w:val="21"/>
                <w:shd w:val="clear" w:color="auto" w:fill="FFFFFF"/>
              </w:rPr>
              <w:t xml:space="preserve">Table </w:t>
            </w:r>
            <w:r>
              <w:rPr>
                <w:rFonts w:ascii="Times New Roman" w:eastAsia="SimSun" w:hAnsi="Times New Roman" w:cs="Times New Roman" w:hint="eastAsia"/>
                <w:color w:val="000000"/>
                <w:szCs w:val="21"/>
                <w:shd w:val="clear" w:color="auto" w:fill="FFFFFF"/>
              </w:rPr>
              <w:t>1</w:t>
            </w:r>
            <w:r>
              <w:rPr>
                <w:rFonts w:ascii="Times New Roman" w:hAnsi="Times New Roman" w:cs="Times New Roman"/>
                <w:color w:val="000000"/>
                <w:szCs w:val="21"/>
              </w:rPr>
              <w:t>)</w:t>
            </w:r>
          </w:p>
        </w:tc>
      </w:tr>
      <w:tr w:rsidR="00EF649D" w14:paraId="2F1E35B8"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5"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6</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6"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retrospective analysis to verify whether any possible systematic inconsistencies exist among model estimates of biomass and fishing mortality</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7"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w:t>
            </w:r>
            <w:r>
              <w:rPr>
                <w:rFonts w:ascii="Times New Roman" w:eastAsia="SimSun" w:hAnsi="Times New Roman" w:cs="Times New Roman" w:hint="eastAsia"/>
                <w:color w:val="000000"/>
                <w:szCs w:val="21"/>
                <w:shd w:val="clear" w:color="auto" w:fill="FFFFFF"/>
              </w:rPr>
              <w:t>s</w:t>
            </w:r>
            <w:r>
              <w:rPr>
                <w:rFonts w:ascii="Times New Roman" w:eastAsia="Segoe UI" w:hAnsi="Times New Roman" w:cs="Times New Roman"/>
                <w:color w:val="000000"/>
                <w:szCs w:val="21"/>
                <w:shd w:val="clear" w:color="auto" w:fill="FFFFFF"/>
              </w:rPr>
              <w:t xml:space="preserve">. </w:t>
            </w:r>
            <w:r>
              <w:rPr>
                <w:rFonts w:ascii="Times New Roman" w:eastAsia="SimSun" w:hAnsi="Times New Roman" w:cs="Times New Roman" w:hint="eastAsia"/>
                <w:color w:val="000000"/>
                <w:szCs w:val="21"/>
                <w:shd w:val="clear" w:color="auto" w:fill="FFFFFF"/>
              </w:rPr>
              <w:t>10-12</w:t>
            </w:r>
            <w:r>
              <w:rPr>
                <w:rFonts w:ascii="Times New Roman" w:hAnsi="Times New Roman" w:cs="Times New Roman"/>
                <w:color w:val="000000"/>
                <w:szCs w:val="21"/>
              </w:rPr>
              <w:t>)</w:t>
            </w:r>
          </w:p>
        </w:tc>
      </w:tr>
      <w:tr w:rsidR="00EF649D" w14:paraId="2F1E35BC"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9"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7</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A"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estimate and plot exploitable stock biomass and fishing mortality (and their relevant</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credibility distributions) over time</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B"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w:t>
            </w:r>
            <w:r>
              <w:rPr>
                <w:rFonts w:ascii="Times New Roman" w:eastAsia="SimSun" w:hAnsi="Times New Roman" w:cs="Times New Roman" w:hint="eastAsia"/>
                <w:color w:val="000000"/>
                <w:szCs w:val="21"/>
                <w:shd w:val="clear" w:color="auto" w:fill="FFFFFF"/>
              </w:rPr>
              <w:t>s</w:t>
            </w:r>
            <w:r>
              <w:rPr>
                <w:rFonts w:ascii="Times New Roman" w:eastAsia="Segoe UI" w:hAnsi="Times New Roman" w:cs="Times New Roman"/>
                <w:color w:val="000000"/>
                <w:szCs w:val="21"/>
                <w:shd w:val="clear" w:color="auto" w:fill="FFFFFF"/>
              </w:rPr>
              <w:t xml:space="preserve">. </w:t>
            </w:r>
            <w:r>
              <w:rPr>
                <w:rFonts w:ascii="Times New Roman" w:eastAsia="SimSun" w:hAnsi="Times New Roman" w:cs="Times New Roman" w:hint="eastAsia"/>
                <w:color w:val="000000"/>
                <w:szCs w:val="21"/>
                <w:shd w:val="clear" w:color="auto" w:fill="FFFFFF"/>
              </w:rPr>
              <w:t>7-9</w:t>
            </w:r>
            <w:r>
              <w:rPr>
                <w:rFonts w:ascii="Times New Roman" w:hAnsi="Times New Roman" w:cs="Times New Roman"/>
                <w:color w:val="000000"/>
                <w:szCs w:val="21"/>
              </w:rPr>
              <w:t>)</w:t>
            </w:r>
          </w:p>
        </w:tc>
      </w:tr>
      <w:tr w:rsidR="00EF649D" w14:paraId="2F1E35C0"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D"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8</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E"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 each scenario, estimate biological reference points (e.g., MSY, B</w:t>
            </w:r>
            <w:r>
              <w:rPr>
                <w:rFonts w:ascii="Times New Roman" w:eastAsia="SimSun" w:hAnsi="Times New Roman" w:cs="Times New Roman"/>
                <w:color w:val="000000"/>
                <w:kern w:val="0"/>
                <w:szCs w:val="21"/>
                <w:vertAlign w:val="subscript"/>
                <w:lang w:bidi="ar"/>
              </w:rPr>
              <w:t>MSY</w:t>
            </w:r>
            <w:r>
              <w:rPr>
                <w:rFonts w:ascii="Times New Roman" w:eastAsia="SimSun" w:hAnsi="Times New Roman" w:cs="Times New Roman"/>
                <w:color w:val="000000"/>
                <w:kern w:val="0"/>
                <w:szCs w:val="21"/>
                <w:lang w:bidi="ar"/>
              </w:rPr>
              <w:t>, F</w:t>
            </w:r>
            <w:r>
              <w:rPr>
                <w:rFonts w:ascii="Times New Roman" w:eastAsia="SimSun" w:hAnsi="Times New Roman" w:cs="Times New Roman"/>
                <w:color w:val="000000"/>
                <w:kern w:val="0"/>
                <w:szCs w:val="21"/>
                <w:vertAlign w:val="subscript"/>
                <w:lang w:bidi="ar"/>
              </w:rPr>
              <w:t>MSY</w:t>
            </w:r>
            <w:r>
              <w:rPr>
                <w:rFonts w:ascii="Times New Roman" w:eastAsia="SimSun" w:hAnsi="Times New Roman" w:cs="Times New Roman"/>
                <w:color w:val="000000"/>
                <w:kern w:val="0"/>
                <w:szCs w:val="21"/>
                <w:lang w:bidi="ar"/>
              </w:rPr>
              <w:t>) and its associated uncertainty</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BF"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Table</w:t>
            </w:r>
            <w:r>
              <w:rPr>
                <w:rFonts w:ascii="Times New Roman" w:eastAsia="SimSun" w:hAnsi="Times New Roman" w:cs="Times New Roman" w:hint="eastAsia"/>
                <w:color w:val="000000"/>
                <w:szCs w:val="21"/>
                <w:shd w:val="clear" w:color="auto" w:fill="FFFFFF"/>
              </w:rPr>
              <w:t>s</w:t>
            </w:r>
            <w:r>
              <w:rPr>
                <w:rFonts w:ascii="Times New Roman" w:eastAsia="Segoe UI" w:hAnsi="Times New Roman" w:cs="Times New Roman"/>
                <w:color w:val="000000"/>
                <w:szCs w:val="21"/>
                <w:shd w:val="clear" w:color="auto" w:fill="FFFFFF"/>
              </w:rPr>
              <w:t xml:space="preserve"> </w:t>
            </w:r>
            <w:r>
              <w:rPr>
                <w:rFonts w:ascii="Times New Roman" w:eastAsia="SimSun" w:hAnsi="Times New Roman" w:cs="Times New Roman" w:hint="eastAsia"/>
                <w:color w:val="000000"/>
                <w:szCs w:val="21"/>
                <w:shd w:val="clear" w:color="auto" w:fill="FFFFFF"/>
              </w:rPr>
              <w:t>2-4</w:t>
            </w:r>
            <w:r>
              <w:rPr>
                <w:rFonts w:ascii="Times New Roman" w:hAnsi="Times New Roman" w:cs="Times New Roman"/>
                <w:color w:val="000000"/>
                <w:szCs w:val="21"/>
              </w:rPr>
              <w:t>)</w:t>
            </w:r>
          </w:p>
        </w:tc>
      </w:tr>
      <w:tr w:rsidR="00EF649D" w14:paraId="2F1E35C4"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1"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9</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2"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Have the Kobe plot for each scenario</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3"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w:t>
            </w:r>
            <w:r>
              <w:rPr>
                <w:rFonts w:ascii="Times New Roman" w:eastAsia="SimSun" w:hAnsi="Times New Roman" w:cs="Times New Roman" w:hint="eastAsia"/>
                <w:color w:val="000000"/>
                <w:szCs w:val="21"/>
                <w:shd w:val="clear" w:color="auto" w:fill="FFFFFF"/>
              </w:rPr>
              <w:t>s</w:t>
            </w:r>
            <w:r>
              <w:rPr>
                <w:rFonts w:ascii="Times New Roman" w:eastAsia="Segoe UI" w:hAnsi="Times New Roman" w:cs="Times New Roman"/>
                <w:color w:val="000000"/>
                <w:szCs w:val="21"/>
                <w:shd w:val="clear" w:color="auto" w:fill="FFFFFF"/>
              </w:rPr>
              <w:t xml:space="preserve">. </w:t>
            </w:r>
            <w:r>
              <w:rPr>
                <w:rFonts w:ascii="Times New Roman" w:eastAsia="SimSun" w:hAnsi="Times New Roman" w:cs="Times New Roman" w:hint="eastAsia"/>
                <w:color w:val="000000"/>
                <w:szCs w:val="21"/>
                <w:shd w:val="clear" w:color="auto" w:fill="FFFFFF"/>
              </w:rPr>
              <w:t>14-16</w:t>
            </w:r>
            <w:r>
              <w:rPr>
                <w:rFonts w:ascii="Times New Roman" w:hAnsi="Times New Roman" w:cs="Times New Roman"/>
                <w:color w:val="000000"/>
                <w:szCs w:val="21"/>
              </w:rPr>
              <w:t>)</w:t>
            </w:r>
          </w:p>
        </w:tc>
      </w:tr>
      <w:tr w:rsidR="00EF649D" w14:paraId="2F1E35C9" w14:textId="77777777">
        <w:trPr>
          <w:trHeight w:val="510"/>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5"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10</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6"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Develop alternative ABCs for the projection (e.g., 2-year projection)</w:t>
            </w:r>
            <w:r>
              <w:rPr>
                <w:rFonts w:ascii="Times New Roman" w:eastAsia="SimSun" w:hAnsi="Times New Roman" w:cs="Times New Roman" w:hint="eastAsia"/>
                <w:color w:val="000000"/>
                <w:kern w:val="0"/>
                <w:szCs w:val="21"/>
                <w:lang w:bidi="ar"/>
              </w:rPr>
              <w:t>.</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F1E35C7" w14:textId="77777777" w:rsidR="00EF649D" w:rsidRDefault="00EA0F7C">
            <w:pPr>
              <w:jc w:val="center"/>
              <w:rPr>
                <w:rFonts w:ascii="Times New Roman" w:eastAsia="SimSun" w:hAnsi="Times New Roman" w:cs="Times New Roman"/>
                <w:color w:val="000000"/>
                <w:szCs w:val="21"/>
                <w:shd w:val="clear" w:color="auto" w:fill="FFFFFF"/>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Table </w:t>
            </w:r>
            <w:r>
              <w:rPr>
                <w:rFonts w:ascii="Times New Roman" w:eastAsia="SimSun" w:hAnsi="Times New Roman" w:cs="Times New Roman" w:hint="eastAsia"/>
                <w:color w:val="000000"/>
                <w:szCs w:val="21"/>
                <w:shd w:val="clear" w:color="auto" w:fill="FFFFFF"/>
              </w:rPr>
              <w:t>5,</w:t>
            </w:r>
          </w:p>
          <w:p w14:paraId="2F1E35C8" w14:textId="77777777" w:rsidR="00EF649D" w:rsidRDefault="00EA0F7C">
            <w:pPr>
              <w:jc w:val="center"/>
              <w:rPr>
                <w:rFonts w:ascii="Times New Roman" w:hAnsi="Times New Roman" w:cs="Times New Roman"/>
                <w:color w:val="000000"/>
                <w:szCs w:val="21"/>
              </w:rPr>
            </w:pPr>
            <w:r>
              <w:rPr>
                <w:rFonts w:ascii="Times New Roman" w:eastAsia="SimSun" w:hAnsi="Times New Roman" w:cs="Times New Roman" w:hint="eastAsia"/>
                <w:color w:val="000000"/>
                <w:szCs w:val="21"/>
                <w:shd w:val="clear" w:color="auto" w:fill="FFFFFF"/>
              </w:rPr>
              <w:t>Fig. 13</w:t>
            </w:r>
            <w:r>
              <w:rPr>
                <w:rFonts w:ascii="Times New Roman" w:hAnsi="Times New Roman" w:cs="Times New Roman"/>
                <w:color w:val="000000"/>
                <w:szCs w:val="21"/>
              </w:rPr>
              <w:t>)</w:t>
            </w:r>
          </w:p>
        </w:tc>
      </w:tr>
      <w:tr w:rsidR="00EF649D" w14:paraId="2F1E35CE" w14:textId="77777777">
        <w:trPr>
          <w:trHeight w:val="510"/>
          <w:jc w:val="center"/>
        </w:trPr>
        <w:tc>
          <w:tcPr>
            <w:tcW w:w="390" w:type="pct"/>
            <w:tcBorders>
              <w:top w:val="single" w:sz="4" w:space="0" w:color="000000"/>
              <w:left w:val="nil"/>
              <w:bottom w:val="single" w:sz="12" w:space="0" w:color="000000"/>
              <w:right w:val="nil"/>
            </w:tcBorders>
            <w:shd w:val="clear" w:color="auto" w:fill="FFFFFF"/>
            <w:tcMar>
              <w:top w:w="96" w:type="dxa"/>
              <w:left w:w="96" w:type="dxa"/>
              <w:bottom w:w="96" w:type="dxa"/>
              <w:right w:w="96" w:type="dxa"/>
            </w:tcMar>
            <w:vAlign w:val="center"/>
          </w:tcPr>
          <w:p w14:paraId="2F1E35CA" w14:textId="77777777" w:rsidR="00EF649D" w:rsidRDefault="00EA0F7C">
            <w:pPr>
              <w:jc w:val="center"/>
              <w:rPr>
                <w:rFonts w:ascii="Times New Roman" w:hAnsi="Times New Roman" w:cs="Times New Roman"/>
                <w:color w:val="000000"/>
                <w:szCs w:val="21"/>
              </w:rPr>
            </w:pPr>
            <w:r>
              <w:rPr>
                <w:rFonts w:ascii="Times New Roman" w:hAnsi="Times New Roman" w:cs="Times New Roman"/>
                <w:color w:val="000000"/>
                <w:szCs w:val="21"/>
              </w:rPr>
              <w:t>11</w:t>
            </w:r>
          </w:p>
        </w:tc>
        <w:tc>
          <w:tcPr>
            <w:tcW w:w="3433" w:type="pct"/>
            <w:tcBorders>
              <w:top w:val="single" w:sz="4" w:space="0" w:color="000000"/>
              <w:left w:val="nil"/>
              <w:bottom w:val="single" w:sz="12" w:space="0" w:color="000000"/>
              <w:right w:val="nil"/>
            </w:tcBorders>
            <w:shd w:val="clear" w:color="auto" w:fill="FFFFFF"/>
            <w:tcMar>
              <w:top w:w="96" w:type="dxa"/>
              <w:left w:w="96" w:type="dxa"/>
              <w:bottom w:w="96" w:type="dxa"/>
              <w:right w:w="96" w:type="dxa"/>
            </w:tcMar>
            <w:vAlign w:val="center"/>
          </w:tcPr>
          <w:p w14:paraId="2F1E35CB" w14:textId="77777777" w:rsidR="00EF649D" w:rsidRDefault="00EA0F7C">
            <w:pPr>
              <w:widowControl/>
              <w:jc w:val="center"/>
              <w:rPr>
                <w:color w:val="000000"/>
                <w:szCs w:val="21"/>
              </w:rPr>
            </w:pPr>
            <w:r>
              <w:rPr>
                <w:rFonts w:ascii="Times New Roman" w:eastAsia="SimSun" w:hAnsi="Times New Roman" w:cs="Times New Roman"/>
                <w:color w:val="000000"/>
                <w:kern w:val="0"/>
                <w:szCs w:val="21"/>
                <w:lang w:bidi="ar"/>
              </w:rPr>
              <w:t>Include relevant ecosystem considerations regarding the stock</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for future assessment, including</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data and results from other scientific studies regarding potential impacts on the stock due to</w:t>
            </w:r>
          </w:p>
          <w:p w14:paraId="2F1E35CC" w14:textId="77777777" w:rsidR="00EF649D" w:rsidRDefault="00EA0F7C">
            <w:pPr>
              <w:widowControl/>
              <w:jc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climate change, non-stationary population and fisheries</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processes, predator-prey dynamics, or</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impacts of distribution and phenological changes on assessment data.</w:t>
            </w:r>
          </w:p>
        </w:tc>
        <w:tc>
          <w:tcPr>
            <w:tcW w:w="1175" w:type="pct"/>
            <w:tcBorders>
              <w:top w:val="single" w:sz="4" w:space="0" w:color="000000"/>
              <w:left w:val="nil"/>
              <w:bottom w:val="single" w:sz="12" w:space="0" w:color="000000"/>
              <w:right w:val="nil"/>
            </w:tcBorders>
            <w:shd w:val="clear" w:color="auto" w:fill="FFFFFF"/>
            <w:tcMar>
              <w:top w:w="96" w:type="dxa"/>
              <w:left w:w="96" w:type="dxa"/>
              <w:bottom w:w="96" w:type="dxa"/>
              <w:right w:w="96" w:type="dxa"/>
            </w:tcMar>
            <w:vAlign w:val="center"/>
          </w:tcPr>
          <w:p w14:paraId="2F1E35CD" w14:textId="77777777" w:rsidR="00EF649D" w:rsidRDefault="00EA0F7C">
            <w:pPr>
              <w:jc w:val="center"/>
              <w:rPr>
                <w:rFonts w:ascii="Times New Roman" w:hAnsi="Times New Roman" w:cs="Times New Roman"/>
              </w:rPr>
            </w:pPr>
            <w:r>
              <w:rPr>
                <w:rFonts w:ascii="Times New Roman" w:hAnsi="Times New Roman" w:cs="Times New Roman"/>
              </w:rPr>
              <w:t>Not covered in this assessment.</w:t>
            </w:r>
          </w:p>
        </w:tc>
      </w:tr>
    </w:tbl>
    <w:p w14:paraId="2F1E35CF" w14:textId="77777777" w:rsidR="00EF649D" w:rsidRDefault="00EF649D">
      <w:pPr>
        <w:rPr>
          <w:rFonts w:ascii="Times New Roman" w:hAnsi="Times New Roman" w:cs="Times New Roman"/>
        </w:rPr>
      </w:pPr>
    </w:p>
    <w:p w14:paraId="2F1E35D0" w14:textId="77777777" w:rsidR="00EF649D" w:rsidRDefault="00EF649D">
      <w:pPr>
        <w:rPr>
          <w:rFonts w:ascii="Times New Roman" w:hAnsi="Times New Roman" w:cs="Times New Roman"/>
        </w:rPr>
      </w:pPr>
    </w:p>
    <w:p w14:paraId="2F1E35D1" w14:textId="77777777" w:rsidR="00EF649D" w:rsidRDefault="00EA0F7C">
      <w:pPr>
        <w:rPr>
          <w:rFonts w:ascii="Times New Roman" w:hAnsi="Times New Roman" w:cs="Times New Roman"/>
        </w:rPr>
      </w:pPr>
      <w:r>
        <w:rPr>
          <w:rFonts w:ascii="Times New Roman" w:hAnsi="Times New Roman" w:cs="Times New Roman"/>
          <w:b/>
          <w:bCs/>
        </w:rPr>
        <w:lastRenderedPageBreak/>
        <w:t xml:space="preserve">Table </w:t>
      </w:r>
      <w:r>
        <w:rPr>
          <w:rFonts w:ascii="Times New Roman" w:hAnsi="Times New Roman" w:cs="Times New Roman" w:hint="eastAsia"/>
          <w:b/>
          <w:bCs/>
        </w:rPr>
        <w:t>1</w:t>
      </w:r>
      <w:r>
        <w:rPr>
          <w:rFonts w:ascii="Times New Roman" w:hAnsi="Times New Roman" w:cs="Times New Roman"/>
          <w:b/>
          <w:bCs/>
        </w:rPr>
        <w:t xml:space="preserve">. </w:t>
      </w:r>
      <w:r>
        <w:rPr>
          <w:rFonts w:ascii="Times New Roman" w:hAnsi="Times New Roman" w:cs="Times New Roman"/>
        </w:rPr>
        <w:t>Gelman–Rubin convergence diagnostics for model parameters in the base-case scenario</w:t>
      </w:r>
    </w:p>
    <w:tbl>
      <w:tblPr>
        <w:tblW w:w="8519" w:type="dxa"/>
        <w:jc w:val="center"/>
        <w:tblCellMar>
          <w:left w:w="0" w:type="dxa"/>
          <w:right w:w="0" w:type="dxa"/>
        </w:tblCellMar>
        <w:tblLook w:val="04A0" w:firstRow="1" w:lastRow="0" w:firstColumn="1" w:lastColumn="0" w:noHBand="0" w:noVBand="1"/>
      </w:tblPr>
      <w:tblGrid>
        <w:gridCol w:w="2216"/>
        <w:gridCol w:w="1362"/>
        <w:gridCol w:w="1704"/>
        <w:gridCol w:w="1362"/>
        <w:gridCol w:w="1875"/>
      </w:tblGrid>
      <w:tr w:rsidR="00EF649D" w14:paraId="2F1E35D7" w14:textId="77777777">
        <w:trPr>
          <w:tblHeader/>
          <w:jc w:val="center"/>
        </w:trPr>
        <w:tc>
          <w:tcPr>
            <w:tcW w:w="0" w:type="auto"/>
            <w:tcBorders>
              <w:top w:val="single" w:sz="12" w:space="0" w:color="auto"/>
              <w:left w:val="nil"/>
              <w:bottom w:val="nil"/>
              <w:right w:val="nil"/>
            </w:tcBorders>
            <w:tcMar>
              <w:top w:w="-1" w:type="dxa"/>
              <w:left w:w="-1" w:type="dxa"/>
              <w:bottom w:w="-1" w:type="dxa"/>
              <w:right w:w="-1" w:type="dxa"/>
            </w:tcMar>
            <w:vAlign w:val="center"/>
          </w:tcPr>
          <w:p w14:paraId="2F1E35D2" w14:textId="77777777" w:rsidR="00EF649D" w:rsidRDefault="00EA0F7C">
            <w:pPr>
              <w:jc w:val="center"/>
              <w:rPr>
                <w:rFonts w:ascii="Times New Roman" w:hAnsi="Times New Roman" w:cs="Times New Roman"/>
              </w:rPr>
            </w:pPr>
            <w:r>
              <w:rPr>
                <w:rFonts w:ascii="Times New Roman" w:hAnsi="Times New Roman" w:cs="Times New Roman"/>
              </w:rPr>
              <w:t>Parameter</w:t>
            </w:r>
          </w:p>
        </w:tc>
        <w:tc>
          <w:tcPr>
            <w:tcW w:w="0" w:type="auto"/>
            <w:tcBorders>
              <w:top w:val="single" w:sz="12" w:space="0" w:color="auto"/>
              <w:left w:val="nil"/>
              <w:bottom w:val="nil"/>
              <w:right w:val="nil"/>
            </w:tcBorders>
            <w:tcMar>
              <w:top w:w="-1" w:type="dxa"/>
              <w:left w:w="-1" w:type="dxa"/>
              <w:bottom w:w="-1" w:type="dxa"/>
              <w:right w:w="-1" w:type="dxa"/>
            </w:tcMar>
            <w:vAlign w:val="center"/>
          </w:tcPr>
          <w:p w14:paraId="2F1E35D3" w14:textId="77777777" w:rsidR="00EF649D" w:rsidRDefault="00EA0F7C">
            <w:pPr>
              <w:jc w:val="center"/>
              <w:rPr>
                <w:rFonts w:ascii="Times New Roman" w:hAnsi="Times New Roman" w:cs="Times New Roman"/>
              </w:rPr>
            </w:pPr>
            <w:proofErr w:type="spellStart"/>
            <w:r>
              <w:rPr>
                <w:rFonts w:ascii="Times New Roman" w:hAnsi="Times New Roman" w:cs="Times New Roman"/>
              </w:rPr>
              <w:t>Rhat</w:t>
            </w:r>
            <w:proofErr w:type="spellEnd"/>
          </w:p>
        </w:tc>
        <w:tc>
          <w:tcPr>
            <w:tcW w:w="0" w:type="auto"/>
            <w:tcBorders>
              <w:top w:val="single" w:sz="12" w:space="0" w:color="auto"/>
              <w:left w:val="nil"/>
              <w:bottom w:val="nil"/>
              <w:right w:val="nil"/>
            </w:tcBorders>
            <w:tcMar>
              <w:top w:w="-1" w:type="dxa"/>
              <w:left w:w="-1" w:type="dxa"/>
              <w:bottom w:w="-1" w:type="dxa"/>
              <w:right w:w="-1" w:type="dxa"/>
            </w:tcMar>
            <w:vAlign w:val="center"/>
          </w:tcPr>
          <w:p w14:paraId="2F1E35D4" w14:textId="77777777" w:rsidR="00EF649D" w:rsidRDefault="00EA0F7C">
            <w:pPr>
              <w:jc w:val="center"/>
              <w:rPr>
                <w:rFonts w:ascii="Times New Roman" w:hAnsi="Times New Roman" w:cs="Times New Roman"/>
              </w:rPr>
            </w:pPr>
            <w:proofErr w:type="spellStart"/>
            <w:r>
              <w:rPr>
                <w:rFonts w:ascii="Times New Roman" w:hAnsi="Times New Roman" w:cs="Times New Roman"/>
              </w:rPr>
              <w:t>Upper_CI</w:t>
            </w:r>
            <w:proofErr w:type="spellEnd"/>
          </w:p>
        </w:tc>
        <w:tc>
          <w:tcPr>
            <w:tcW w:w="0" w:type="auto"/>
            <w:tcBorders>
              <w:top w:val="single" w:sz="12" w:space="0" w:color="auto"/>
              <w:left w:val="nil"/>
              <w:bottom w:val="nil"/>
              <w:right w:val="nil"/>
            </w:tcBorders>
            <w:tcMar>
              <w:top w:w="-1" w:type="dxa"/>
              <w:left w:w="-1" w:type="dxa"/>
              <w:bottom w:w="-1" w:type="dxa"/>
              <w:right w:w="-1" w:type="dxa"/>
            </w:tcMar>
            <w:vAlign w:val="center"/>
          </w:tcPr>
          <w:p w14:paraId="2F1E35D5" w14:textId="77777777" w:rsidR="00EF649D" w:rsidRDefault="00EA0F7C">
            <w:pPr>
              <w:jc w:val="center"/>
              <w:rPr>
                <w:rFonts w:ascii="Times New Roman" w:hAnsi="Times New Roman" w:cs="Times New Roman"/>
              </w:rPr>
            </w:pPr>
            <w:r>
              <w:rPr>
                <w:rFonts w:ascii="Times New Roman" w:hAnsi="Times New Roman" w:cs="Times New Roman"/>
              </w:rPr>
              <w:t>ESS</w:t>
            </w:r>
          </w:p>
        </w:tc>
        <w:tc>
          <w:tcPr>
            <w:tcW w:w="1875" w:type="dxa"/>
            <w:tcBorders>
              <w:top w:val="single" w:sz="12" w:space="0" w:color="auto"/>
              <w:left w:val="nil"/>
              <w:bottom w:val="nil"/>
              <w:right w:val="nil"/>
            </w:tcBorders>
            <w:tcMar>
              <w:top w:w="-1" w:type="dxa"/>
              <w:left w:w="-1" w:type="dxa"/>
              <w:bottom w:w="-1" w:type="dxa"/>
              <w:right w:w="-1" w:type="dxa"/>
            </w:tcMar>
            <w:vAlign w:val="center"/>
          </w:tcPr>
          <w:p w14:paraId="2F1E35D6" w14:textId="77777777" w:rsidR="00EF649D" w:rsidRDefault="00EA0F7C">
            <w:pPr>
              <w:jc w:val="center"/>
              <w:rPr>
                <w:rFonts w:ascii="Times New Roman" w:hAnsi="Times New Roman" w:cs="Times New Roman"/>
              </w:rPr>
            </w:pPr>
            <w:r>
              <w:rPr>
                <w:rFonts w:ascii="Times New Roman" w:hAnsi="Times New Roman" w:cs="Times New Roman"/>
              </w:rPr>
              <w:t>Diagnosis</w:t>
            </w:r>
          </w:p>
        </w:tc>
      </w:tr>
      <w:tr w:rsidR="00EF649D" w14:paraId="2F1E35DD" w14:textId="77777777">
        <w:trPr>
          <w:jc w:val="center"/>
        </w:trPr>
        <w:tc>
          <w:tcPr>
            <w:tcW w:w="0" w:type="auto"/>
            <w:tcBorders>
              <w:top w:val="single" w:sz="4" w:space="0" w:color="auto"/>
              <w:left w:val="nil"/>
              <w:bottom w:val="nil"/>
              <w:right w:val="nil"/>
            </w:tcBorders>
            <w:tcMar>
              <w:top w:w="-1" w:type="dxa"/>
              <w:left w:w="-1" w:type="dxa"/>
              <w:bottom w:w="-1" w:type="dxa"/>
              <w:right w:w="-1" w:type="dxa"/>
            </w:tcMar>
            <w:vAlign w:val="center"/>
          </w:tcPr>
          <w:p w14:paraId="2F1E35D8" w14:textId="77777777" w:rsidR="00EF649D" w:rsidRDefault="00EA0F7C">
            <w:pPr>
              <w:jc w:val="center"/>
              <w:rPr>
                <w:rFonts w:ascii="Times New Roman" w:hAnsi="Times New Roman" w:cs="Times New Roman"/>
              </w:rPr>
            </w:pPr>
            <w:r>
              <w:rPr>
                <w:rFonts w:ascii="Times New Roman" w:hAnsi="Times New Roman" w:cs="Times New Roman"/>
              </w:rPr>
              <w:t>K</w:t>
            </w:r>
          </w:p>
        </w:tc>
        <w:tc>
          <w:tcPr>
            <w:tcW w:w="0" w:type="auto"/>
            <w:tcBorders>
              <w:top w:val="single" w:sz="4" w:space="0" w:color="auto"/>
              <w:left w:val="nil"/>
              <w:bottom w:val="nil"/>
              <w:right w:val="nil"/>
            </w:tcBorders>
            <w:tcMar>
              <w:top w:w="-1" w:type="dxa"/>
              <w:left w:w="-1" w:type="dxa"/>
              <w:bottom w:w="-1" w:type="dxa"/>
              <w:right w:w="-1" w:type="dxa"/>
            </w:tcMar>
            <w:vAlign w:val="center"/>
          </w:tcPr>
          <w:p w14:paraId="2F1E35D9" w14:textId="77777777" w:rsidR="00EF649D" w:rsidRDefault="00EA0F7C">
            <w:pPr>
              <w:jc w:val="center"/>
              <w:rPr>
                <w:rFonts w:ascii="Times New Roman" w:hAnsi="Times New Roman" w:cs="Times New Roman"/>
              </w:rPr>
            </w:pPr>
            <w:r>
              <w:rPr>
                <w:rFonts w:ascii="Times New Roman" w:hAnsi="Times New Roman" w:cs="Times New Roman"/>
              </w:rPr>
              <w:t>1.0001</w:t>
            </w:r>
          </w:p>
        </w:tc>
        <w:tc>
          <w:tcPr>
            <w:tcW w:w="0" w:type="auto"/>
            <w:tcBorders>
              <w:top w:val="single" w:sz="4" w:space="0" w:color="auto"/>
              <w:left w:val="nil"/>
              <w:bottom w:val="nil"/>
              <w:right w:val="nil"/>
            </w:tcBorders>
            <w:tcMar>
              <w:top w:w="-1" w:type="dxa"/>
              <w:left w:w="-1" w:type="dxa"/>
              <w:bottom w:w="-1" w:type="dxa"/>
              <w:right w:w="-1" w:type="dxa"/>
            </w:tcMar>
            <w:vAlign w:val="center"/>
          </w:tcPr>
          <w:p w14:paraId="2F1E35DA" w14:textId="77777777" w:rsidR="00EF649D" w:rsidRDefault="00EA0F7C">
            <w:pPr>
              <w:jc w:val="center"/>
              <w:rPr>
                <w:rFonts w:ascii="Times New Roman" w:hAnsi="Times New Roman" w:cs="Times New Roman"/>
              </w:rPr>
            </w:pPr>
            <w:r>
              <w:rPr>
                <w:rFonts w:ascii="Times New Roman" w:hAnsi="Times New Roman" w:cs="Times New Roman"/>
              </w:rPr>
              <w:t>1.0003</w:t>
            </w:r>
          </w:p>
        </w:tc>
        <w:tc>
          <w:tcPr>
            <w:tcW w:w="0" w:type="auto"/>
            <w:tcBorders>
              <w:top w:val="single" w:sz="4" w:space="0" w:color="auto"/>
              <w:left w:val="nil"/>
              <w:bottom w:val="nil"/>
              <w:right w:val="nil"/>
            </w:tcBorders>
            <w:tcMar>
              <w:top w:w="-1" w:type="dxa"/>
              <w:left w:w="-1" w:type="dxa"/>
              <w:bottom w:w="-1" w:type="dxa"/>
              <w:right w:w="-1" w:type="dxa"/>
            </w:tcMar>
            <w:vAlign w:val="center"/>
          </w:tcPr>
          <w:p w14:paraId="2F1E35DB" w14:textId="77777777" w:rsidR="00EF649D" w:rsidRDefault="00EA0F7C">
            <w:pPr>
              <w:jc w:val="center"/>
              <w:rPr>
                <w:rFonts w:ascii="Times New Roman" w:hAnsi="Times New Roman" w:cs="Times New Roman"/>
              </w:rPr>
            </w:pPr>
            <w:r>
              <w:rPr>
                <w:rFonts w:ascii="Times New Roman" w:hAnsi="Times New Roman" w:cs="Times New Roman"/>
              </w:rPr>
              <w:t>7699.2</w:t>
            </w:r>
          </w:p>
        </w:tc>
        <w:tc>
          <w:tcPr>
            <w:tcW w:w="1875" w:type="dxa"/>
            <w:tcBorders>
              <w:top w:val="single" w:sz="4" w:space="0" w:color="auto"/>
              <w:left w:val="nil"/>
              <w:bottom w:val="nil"/>
              <w:right w:val="nil"/>
            </w:tcBorders>
            <w:tcMar>
              <w:top w:w="-1" w:type="dxa"/>
              <w:left w:w="-1" w:type="dxa"/>
              <w:bottom w:w="-1" w:type="dxa"/>
              <w:right w:w="-1" w:type="dxa"/>
            </w:tcMar>
            <w:vAlign w:val="center"/>
          </w:tcPr>
          <w:p w14:paraId="2F1E35DC"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5E3"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DE" w14:textId="77777777" w:rsidR="00EF649D" w:rsidRDefault="00EA0F7C">
            <w:pPr>
              <w:jc w:val="center"/>
              <w:rPr>
                <w:rFonts w:ascii="Times New Roman" w:hAnsi="Times New Roman" w:cs="Times New Roman"/>
              </w:rPr>
            </w:pPr>
            <w:r>
              <w:rPr>
                <w:rFonts w:ascii="Times New Roman" w:hAnsi="Times New Roman" w:cs="Times New Roman"/>
              </w:rPr>
              <w:t>r</w:t>
            </w:r>
          </w:p>
        </w:tc>
        <w:tc>
          <w:tcPr>
            <w:tcW w:w="0" w:type="auto"/>
            <w:tcBorders>
              <w:top w:val="nil"/>
              <w:left w:val="nil"/>
              <w:bottom w:val="nil"/>
              <w:right w:val="nil"/>
            </w:tcBorders>
            <w:tcMar>
              <w:top w:w="-1" w:type="dxa"/>
              <w:left w:w="-1" w:type="dxa"/>
              <w:bottom w:w="-1" w:type="dxa"/>
              <w:right w:w="-1" w:type="dxa"/>
            </w:tcMar>
            <w:vAlign w:val="center"/>
          </w:tcPr>
          <w:p w14:paraId="2F1E35DF" w14:textId="77777777" w:rsidR="00EF649D" w:rsidRDefault="00EA0F7C">
            <w:pPr>
              <w:jc w:val="cente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Mar>
              <w:top w:w="-1" w:type="dxa"/>
              <w:left w:w="-1" w:type="dxa"/>
              <w:bottom w:w="-1" w:type="dxa"/>
              <w:right w:w="-1" w:type="dxa"/>
            </w:tcMar>
            <w:vAlign w:val="center"/>
          </w:tcPr>
          <w:p w14:paraId="2F1E35E0" w14:textId="77777777" w:rsidR="00EF649D" w:rsidRDefault="00EA0F7C">
            <w:pPr>
              <w:jc w:val="center"/>
              <w:rPr>
                <w:rFonts w:ascii="Times New Roman" w:hAnsi="Times New Roman" w:cs="Times New Roman"/>
              </w:rPr>
            </w:pPr>
            <w:r>
              <w:rPr>
                <w:rFonts w:ascii="Times New Roman" w:hAnsi="Times New Roman" w:cs="Times New Roman"/>
              </w:rPr>
              <w:t>1.0003</w:t>
            </w:r>
          </w:p>
        </w:tc>
        <w:tc>
          <w:tcPr>
            <w:tcW w:w="0" w:type="auto"/>
            <w:tcBorders>
              <w:top w:val="nil"/>
              <w:left w:val="nil"/>
              <w:bottom w:val="nil"/>
              <w:right w:val="nil"/>
            </w:tcBorders>
            <w:tcMar>
              <w:top w:w="-1" w:type="dxa"/>
              <w:left w:w="-1" w:type="dxa"/>
              <w:bottom w:w="-1" w:type="dxa"/>
              <w:right w:w="-1" w:type="dxa"/>
            </w:tcMar>
            <w:vAlign w:val="center"/>
          </w:tcPr>
          <w:p w14:paraId="2F1E35E1" w14:textId="77777777" w:rsidR="00EF649D" w:rsidRDefault="00EA0F7C">
            <w:pPr>
              <w:jc w:val="center"/>
              <w:rPr>
                <w:rFonts w:ascii="Times New Roman" w:hAnsi="Times New Roman" w:cs="Times New Roman"/>
              </w:rPr>
            </w:pPr>
            <w:r>
              <w:rPr>
                <w:rFonts w:ascii="Times New Roman" w:hAnsi="Times New Roman" w:cs="Times New Roman"/>
              </w:rPr>
              <w:t>7236.2</w:t>
            </w:r>
          </w:p>
        </w:tc>
        <w:tc>
          <w:tcPr>
            <w:tcW w:w="1875" w:type="dxa"/>
            <w:tcBorders>
              <w:top w:val="nil"/>
              <w:left w:val="nil"/>
              <w:bottom w:val="nil"/>
              <w:right w:val="nil"/>
            </w:tcBorders>
            <w:tcMar>
              <w:top w:w="-1" w:type="dxa"/>
              <w:left w:w="-1" w:type="dxa"/>
              <w:bottom w:w="-1" w:type="dxa"/>
              <w:right w:w="-1" w:type="dxa"/>
            </w:tcMar>
            <w:vAlign w:val="center"/>
          </w:tcPr>
          <w:p w14:paraId="2F1E35E2"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5E9"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E4" w14:textId="77777777" w:rsidR="00EF649D" w:rsidRDefault="00EA0F7C">
            <w:pPr>
              <w:jc w:val="center"/>
              <w:rPr>
                <w:rFonts w:ascii="Times New Roman" w:hAnsi="Times New Roman" w:cs="Times New Roman"/>
              </w:rPr>
            </w:pPr>
            <w:r>
              <w:rPr>
                <w:rFonts w:ascii="Times New Roman" w:hAnsi="Times New Roman" w:cs="Times New Roman"/>
              </w:rPr>
              <w:t>q</w:t>
            </w:r>
          </w:p>
        </w:tc>
        <w:tc>
          <w:tcPr>
            <w:tcW w:w="0" w:type="auto"/>
            <w:tcBorders>
              <w:top w:val="nil"/>
              <w:left w:val="nil"/>
              <w:bottom w:val="nil"/>
              <w:right w:val="nil"/>
            </w:tcBorders>
            <w:tcMar>
              <w:top w:w="-1" w:type="dxa"/>
              <w:left w:w="-1" w:type="dxa"/>
              <w:bottom w:w="-1" w:type="dxa"/>
              <w:right w:w="-1" w:type="dxa"/>
            </w:tcMar>
            <w:vAlign w:val="center"/>
          </w:tcPr>
          <w:p w14:paraId="2F1E35E5" w14:textId="77777777" w:rsidR="00EF649D" w:rsidRDefault="00EA0F7C">
            <w:pPr>
              <w:jc w:val="center"/>
              <w:rPr>
                <w:rFonts w:ascii="Times New Roman" w:hAnsi="Times New Roman" w:cs="Times New Roman"/>
              </w:rPr>
            </w:pPr>
            <w:r>
              <w:rPr>
                <w:rFonts w:ascii="Times New Roman" w:hAnsi="Times New Roman" w:cs="Times New Roman"/>
              </w:rPr>
              <w:t>1.0002</w:t>
            </w:r>
          </w:p>
        </w:tc>
        <w:tc>
          <w:tcPr>
            <w:tcW w:w="0" w:type="auto"/>
            <w:tcBorders>
              <w:top w:val="nil"/>
              <w:left w:val="nil"/>
              <w:bottom w:val="nil"/>
              <w:right w:val="nil"/>
            </w:tcBorders>
            <w:tcMar>
              <w:top w:w="-1" w:type="dxa"/>
              <w:left w:w="-1" w:type="dxa"/>
              <w:bottom w:w="-1" w:type="dxa"/>
              <w:right w:w="-1" w:type="dxa"/>
            </w:tcMar>
            <w:vAlign w:val="center"/>
          </w:tcPr>
          <w:p w14:paraId="2F1E35E6" w14:textId="77777777" w:rsidR="00EF649D" w:rsidRDefault="00EA0F7C">
            <w:pPr>
              <w:jc w:val="center"/>
              <w:rPr>
                <w:rFonts w:ascii="Times New Roman" w:hAnsi="Times New Roman" w:cs="Times New Roman"/>
              </w:rPr>
            </w:pPr>
            <w:r>
              <w:rPr>
                <w:rFonts w:ascii="Times New Roman" w:hAnsi="Times New Roman" w:cs="Times New Roman"/>
              </w:rPr>
              <w:t>1.0005</w:t>
            </w:r>
          </w:p>
        </w:tc>
        <w:tc>
          <w:tcPr>
            <w:tcW w:w="0" w:type="auto"/>
            <w:tcBorders>
              <w:top w:val="nil"/>
              <w:left w:val="nil"/>
              <w:bottom w:val="nil"/>
              <w:right w:val="nil"/>
            </w:tcBorders>
            <w:tcMar>
              <w:top w:w="-1" w:type="dxa"/>
              <w:left w:w="-1" w:type="dxa"/>
              <w:bottom w:w="-1" w:type="dxa"/>
              <w:right w:w="-1" w:type="dxa"/>
            </w:tcMar>
            <w:vAlign w:val="center"/>
          </w:tcPr>
          <w:p w14:paraId="2F1E35E7" w14:textId="77777777" w:rsidR="00EF649D" w:rsidRDefault="00EA0F7C">
            <w:pPr>
              <w:jc w:val="center"/>
              <w:rPr>
                <w:rFonts w:ascii="Times New Roman" w:hAnsi="Times New Roman" w:cs="Times New Roman"/>
              </w:rPr>
            </w:pPr>
            <w:r>
              <w:rPr>
                <w:rFonts w:ascii="Times New Roman" w:hAnsi="Times New Roman" w:cs="Times New Roman"/>
              </w:rPr>
              <w:t>7394.5</w:t>
            </w:r>
          </w:p>
        </w:tc>
        <w:tc>
          <w:tcPr>
            <w:tcW w:w="1875" w:type="dxa"/>
            <w:tcBorders>
              <w:top w:val="nil"/>
              <w:left w:val="nil"/>
              <w:bottom w:val="nil"/>
              <w:right w:val="nil"/>
            </w:tcBorders>
            <w:tcMar>
              <w:top w:w="-1" w:type="dxa"/>
              <w:left w:w="-1" w:type="dxa"/>
              <w:bottom w:w="-1" w:type="dxa"/>
              <w:right w:w="-1" w:type="dxa"/>
            </w:tcMar>
            <w:vAlign w:val="center"/>
          </w:tcPr>
          <w:p w14:paraId="2F1E35E8"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5EF"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EA" w14:textId="77777777" w:rsidR="00EF649D" w:rsidRDefault="00EA0F7C">
            <w:pPr>
              <w:jc w:val="center"/>
              <w:rPr>
                <w:rFonts w:ascii="Times New Roman" w:hAnsi="Times New Roman" w:cs="Times New Roman"/>
              </w:rPr>
            </w:pPr>
            <w:r>
              <w:rPr>
                <w:rFonts w:ascii="Times New Roman" w:hAnsi="Times New Roman" w:cs="Times New Roman"/>
              </w:rPr>
              <w:t>psi</w:t>
            </w:r>
          </w:p>
        </w:tc>
        <w:tc>
          <w:tcPr>
            <w:tcW w:w="0" w:type="auto"/>
            <w:tcBorders>
              <w:top w:val="nil"/>
              <w:left w:val="nil"/>
              <w:bottom w:val="nil"/>
              <w:right w:val="nil"/>
            </w:tcBorders>
            <w:tcMar>
              <w:top w:w="-1" w:type="dxa"/>
              <w:left w:w="-1" w:type="dxa"/>
              <w:bottom w:w="-1" w:type="dxa"/>
              <w:right w:w="-1" w:type="dxa"/>
            </w:tcMar>
            <w:vAlign w:val="center"/>
          </w:tcPr>
          <w:p w14:paraId="2F1E35EB" w14:textId="77777777" w:rsidR="00EF649D" w:rsidRDefault="00EA0F7C">
            <w:pPr>
              <w:jc w:val="center"/>
              <w:rPr>
                <w:rFonts w:ascii="Times New Roman" w:hAnsi="Times New Roman" w:cs="Times New Roman"/>
              </w:rPr>
            </w:pPr>
            <w:r>
              <w:rPr>
                <w:rFonts w:ascii="Times New Roman" w:hAnsi="Times New Roman" w:cs="Times New Roman"/>
              </w:rPr>
              <w:t>1.0005</w:t>
            </w:r>
          </w:p>
        </w:tc>
        <w:tc>
          <w:tcPr>
            <w:tcW w:w="0" w:type="auto"/>
            <w:tcBorders>
              <w:top w:val="nil"/>
              <w:left w:val="nil"/>
              <w:bottom w:val="nil"/>
              <w:right w:val="nil"/>
            </w:tcBorders>
            <w:tcMar>
              <w:top w:w="-1" w:type="dxa"/>
              <w:left w:w="-1" w:type="dxa"/>
              <w:bottom w:w="-1" w:type="dxa"/>
              <w:right w:w="-1" w:type="dxa"/>
            </w:tcMar>
            <w:vAlign w:val="center"/>
          </w:tcPr>
          <w:p w14:paraId="2F1E35EC" w14:textId="77777777" w:rsidR="00EF649D" w:rsidRDefault="00EA0F7C">
            <w:pPr>
              <w:jc w:val="center"/>
              <w:rPr>
                <w:rFonts w:ascii="Times New Roman" w:hAnsi="Times New Roman" w:cs="Times New Roman"/>
              </w:rPr>
            </w:pPr>
            <w:r>
              <w:rPr>
                <w:rFonts w:ascii="Times New Roman" w:hAnsi="Times New Roman" w:cs="Times New Roman"/>
              </w:rPr>
              <w:t>1.0014</w:t>
            </w:r>
          </w:p>
        </w:tc>
        <w:tc>
          <w:tcPr>
            <w:tcW w:w="0" w:type="auto"/>
            <w:tcBorders>
              <w:top w:val="nil"/>
              <w:left w:val="nil"/>
              <w:bottom w:val="nil"/>
              <w:right w:val="nil"/>
            </w:tcBorders>
            <w:tcMar>
              <w:top w:w="-1" w:type="dxa"/>
              <w:left w:w="-1" w:type="dxa"/>
              <w:bottom w:w="-1" w:type="dxa"/>
              <w:right w:w="-1" w:type="dxa"/>
            </w:tcMar>
            <w:vAlign w:val="center"/>
          </w:tcPr>
          <w:p w14:paraId="2F1E35ED" w14:textId="77777777" w:rsidR="00EF649D" w:rsidRDefault="00EA0F7C">
            <w:pPr>
              <w:jc w:val="center"/>
              <w:rPr>
                <w:rFonts w:ascii="Times New Roman" w:hAnsi="Times New Roman" w:cs="Times New Roman"/>
              </w:rPr>
            </w:pPr>
            <w:r>
              <w:rPr>
                <w:rFonts w:ascii="Times New Roman" w:hAnsi="Times New Roman" w:cs="Times New Roman"/>
              </w:rPr>
              <w:t>7855.8</w:t>
            </w:r>
          </w:p>
        </w:tc>
        <w:tc>
          <w:tcPr>
            <w:tcW w:w="1875" w:type="dxa"/>
            <w:tcBorders>
              <w:top w:val="nil"/>
              <w:left w:val="nil"/>
              <w:bottom w:val="nil"/>
              <w:right w:val="nil"/>
            </w:tcBorders>
            <w:tcMar>
              <w:top w:w="-1" w:type="dxa"/>
              <w:left w:w="-1" w:type="dxa"/>
              <w:bottom w:w="-1" w:type="dxa"/>
              <w:right w:w="-1" w:type="dxa"/>
            </w:tcMar>
            <w:vAlign w:val="center"/>
          </w:tcPr>
          <w:p w14:paraId="2F1E35EE"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5F5"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F0" w14:textId="77777777" w:rsidR="00EF649D" w:rsidRDefault="00EA0F7C">
            <w:pPr>
              <w:jc w:val="center"/>
              <w:rPr>
                <w:rFonts w:ascii="Times New Roman" w:hAnsi="Times New Roman" w:cs="Times New Roman"/>
              </w:rPr>
            </w:pPr>
            <w:r>
              <w:rPr>
                <w:rFonts w:ascii="Times New Roman" w:hAnsi="Times New Roman" w:cs="Times New Roman"/>
              </w:rPr>
              <w:t>sigma</w:t>
            </w:r>
            <w:r>
              <w:rPr>
                <w:rFonts w:ascii="Times New Roman" w:hAnsi="Times New Roman" w:cs="Times New Roman"/>
                <w:vertAlign w:val="superscript"/>
              </w:rPr>
              <w:t>2</w:t>
            </w:r>
          </w:p>
        </w:tc>
        <w:tc>
          <w:tcPr>
            <w:tcW w:w="0" w:type="auto"/>
            <w:tcBorders>
              <w:top w:val="nil"/>
              <w:left w:val="nil"/>
              <w:bottom w:val="nil"/>
              <w:right w:val="nil"/>
            </w:tcBorders>
            <w:tcMar>
              <w:top w:w="-1" w:type="dxa"/>
              <w:left w:w="-1" w:type="dxa"/>
              <w:bottom w:w="-1" w:type="dxa"/>
              <w:right w:w="-1" w:type="dxa"/>
            </w:tcMar>
            <w:vAlign w:val="center"/>
          </w:tcPr>
          <w:p w14:paraId="2F1E35F1" w14:textId="77777777" w:rsidR="00EF649D" w:rsidRDefault="00EA0F7C">
            <w:pPr>
              <w:jc w:val="center"/>
              <w:rPr>
                <w:rFonts w:ascii="Times New Roman" w:hAnsi="Times New Roman" w:cs="Times New Roman"/>
              </w:rPr>
            </w:pPr>
            <w:r>
              <w:rPr>
                <w:rFonts w:ascii="Times New Roman" w:hAnsi="Times New Roman" w:cs="Times New Roman"/>
              </w:rPr>
              <w:t>1.0001</w:t>
            </w:r>
          </w:p>
        </w:tc>
        <w:tc>
          <w:tcPr>
            <w:tcW w:w="0" w:type="auto"/>
            <w:tcBorders>
              <w:top w:val="nil"/>
              <w:left w:val="nil"/>
              <w:bottom w:val="nil"/>
              <w:right w:val="nil"/>
            </w:tcBorders>
            <w:tcMar>
              <w:top w:w="-1" w:type="dxa"/>
              <w:left w:w="-1" w:type="dxa"/>
              <w:bottom w:w="-1" w:type="dxa"/>
              <w:right w:w="-1" w:type="dxa"/>
            </w:tcMar>
            <w:vAlign w:val="center"/>
          </w:tcPr>
          <w:p w14:paraId="2F1E35F2" w14:textId="77777777" w:rsidR="00EF649D" w:rsidRDefault="00EA0F7C">
            <w:pPr>
              <w:jc w:val="center"/>
              <w:rPr>
                <w:rFonts w:ascii="Times New Roman" w:hAnsi="Times New Roman" w:cs="Times New Roman"/>
              </w:rPr>
            </w:pPr>
            <w:r>
              <w:rPr>
                <w:rFonts w:ascii="Times New Roman" w:hAnsi="Times New Roman" w:cs="Times New Roman"/>
              </w:rPr>
              <w:t>1.0008</w:t>
            </w:r>
          </w:p>
        </w:tc>
        <w:tc>
          <w:tcPr>
            <w:tcW w:w="0" w:type="auto"/>
            <w:tcBorders>
              <w:top w:val="nil"/>
              <w:left w:val="nil"/>
              <w:bottom w:val="nil"/>
              <w:right w:val="nil"/>
            </w:tcBorders>
            <w:tcMar>
              <w:top w:w="-1" w:type="dxa"/>
              <w:left w:w="-1" w:type="dxa"/>
              <w:bottom w:w="-1" w:type="dxa"/>
              <w:right w:w="-1" w:type="dxa"/>
            </w:tcMar>
            <w:vAlign w:val="center"/>
          </w:tcPr>
          <w:p w14:paraId="2F1E35F3" w14:textId="77777777" w:rsidR="00EF649D" w:rsidRDefault="00EA0F7C">
            <w:pPr>
              <w:jc w:val="center"/>
              <w:rPr>
                <w:rFonts w:ascii="Times New Roman" w:hAnsi="Times New Roman" w:cs="Times New Roman"/>
              </w:rPr>
            </w:pPr>
            <w:r>
              <w:rPr>
                <w:rFonts w:ascii="Times New Roman" w:hAnsi="Times New Roman" w:cs="Times New Roman"/>
              </w:rPr>
              <w:t>7389.4</w:t>
            </w:r>
          </w:p>
        </w:tc>
        <w:tc>
          <w:tcPr>
            <w:tcW w:w="1875" w:type="dxa"/>
            <w:tcBorders>
              <w:top w:val="nil"/>
              <w:left w:val="nil"/>
              <w:bottom w:val="nil"/>
              <w:right w:val="nil"/>
            </w:tcBorders>
            <w:tcMar>
              <w:top w:w="-1" w:type="dxa"/>
              <w:left w:w="-1" w:type="dxa"/>
              <w:bottom w:w="-1" w:type="dxa"/>
              <w:right w:w="-1" w:type="dxa"/>
            </w:tcMar>
            <w:vAlign w:val="center"/>
          </w:tcPr>
          <w:p w14:paraId="2F1E35F4"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5FB"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F6" w14:textId="77777777" w:rsidR="00EF649D" w:rsidRDefault="00EA0F7C">
            <w:pPr>
              <w:jc w:val="center"/>
              <w:rPr>
                <w:rFonts w:ascii="Times New Roman" w:hAnsi="Times New Roman" w:cs="Times New Roman"/>
              </w:rPr>
            </w:pPr>
            <w:r>
              <w:rPr>
                <w:rFonts w:ascii="Times New Roman" w:hAnsi="Times New Roman" w:cs="Times New Roman"/>
              </w:rPr>
              <w:t>tau</w:t>
            </w:r>
            <w:r>
              <w:rPr>
                <w:rFonts w:ascii="Times New Roman" w:hAnsi="Times New Roman" w:cs="Times New Roman"/>
                <w:vertAlign w:val="superscript"/>
              </w:rPr>
              <w:t>2</w:t>
            </w:r>
          </w:p>
        </w:tc>
        <w:tc>
          <w:tcPr>
            <w:tcW w:w="0" w:type="auto"/>
            <w:tcBorders>
              <w:top w:val="nil"/>
              <w:left w:val="nil"/>
              <w:bottom w:val="nil"/>
              <w:right w:val="nil"/>
            </w:tcBorders>
            <w:tcMar>
              <w:top w:w="-1" w:type="dxa"/>
              <w:left w:w="-1" w:type="dxa"/>
              <w:bottom w:w="-1" w:type="dxa"/>
              <w:right w:w="-1" w:type="dxa"/>
            </w:tcMar>
            <w:vAlign w:val="center"/>
          </w:tcPr>
          <w:p w14:paraId="2F1E35F7" w14:textId="77777777" w:rsidR="00EF649D" w:rsidRDefault="00EA0F7C">
            <w:pPr>
              <w:jc w:val="center"/>
              <w:rPr>
                <w:rFonts w:ascii="Times New Roman" w:hAnsi="Times New Roman" w:cs="Times New Roman"/>
              </w:rPr>
            </w:pPr>
            <w:r>
              <w:rPr>
                <w:rFonts w:ascii="Times New Roman" w:hAnsi="Times New Roman" w:cs="Times New Roman"/>
              </w:rPr>
              <w:t>1.0005</w:t>
            </w:r>
          </w:p>
        </w:tc>
        <w:tc>
          <w:tcPr>
            <w:tcW w:w="0" w:type="auto"/>
            <w:tcBorders>
              <w:top w:val="nil"/>
              <w:left w:val="nil"/>
              <w:bottom w:val="nil"/>
              <w:right w:val="nil"/>
            </w:tcBorders>
            <w:tcMar>
              <w:top w:w="-1" w:type="dxa"/>
              <w:left w:w="-1" w:type="dxa"/>
              <w:bottom w:w="-1" w:type="dxa"/>
              <w:right w:w="-1" w:type="dxa"/>
            </w:tcMar>
            <w:vAlign w:val="center"/>
          </w:tcPr>
          <w:p w14:paraId="2F1E35F8" w14:textId="77777777" w:rsidR="00EF649D" w:rsidRDefault="00EA0F7C">
            <w:pPr>
              <w:jc w:val="center"/>
              <w:rPr>
                <w:rFonts w:ascii="Times New Roman" w:hAnsi="Times New Roman" w:cs="Times New Roman"/>
              </w:rPr>
            </w:pPr>
            <w:r>
              <w:rPr>
                <w:rFonts w:ascii="Times New Roman" w:hAnsi="Times New Roman" w:cs="Times New Roman"/>
              </w:rPr>
              <w:t>1.0005</w:t>
            </w:r>
          </w:p>
        </w:tc>
        <w:tc>
          <w:tcPr>
            <w:tcW w:w="0" w:type="auto"/>
            <w:tcBorders>
              <w:top w:val="nil"/>
              <w:left w:val="nil"/>
              <w:bottom w:val="nil"/>
              <w:right w:val="nil"/>
            </w:tcBorders>
            <w:tcMar>
              <w:top w:w="-1" w:type="dxa"/>
              <w:left w:w="-1" w:type="dxa"/>
              <w:bottom w:w="-1" w:type="dxa"/>
              <w:right w:w="-1" w:type="dxa"/>
            </w:tcMar>
            <w:vAlign w:val="center"/>
          </w:tcPr>
          <w:p w14:paraId="2F1E35F9" w14:textId="77777777" w:rsidR="00EF649D" w:rsidRDefault="00EA0F7C">
            <w:pPr>
              <w:jc w:val="center"/>
              <w:rPr>
                <w:rFonts w:ascii="Times New Roman" w:hAnsi="Times New Roman" w:cs="Times New Roman"/>
              </w:rPr>
            </w:pPr>
            <w:r>
              <w:rPr>
                <w:rFonts w:ascii="Times New Roman" w:hAnsi="Times New Roman" w:cs="Times New Roman"/>
              </w:rPr>
              <w:t>7696</w:t>
            </w:r>
          </w:p>
        </w:tc>
        <w:tc>
          <w:tcPr>
            <w:tcW w:w="1875" w:type="dxa"/>
            <w:tcBorders>
              <w:top w:val="nil"/>
              <w:left w:val="nil"/>
              <w:bottom w:val="nil"/>
              <w:right w:val="nil"/>
            </w:tcBorders>
            <w:tcMar>
              <w:top w:w="-1" w:type="dxa"/>
              <w:left w:w="-1" w:type="dxa"/>
              <w:bottom w:w="-1" w:type="dxa"/>
              <w:right w:w="-1" w:type="dxa"/>
            </w:tcMar>
            <w:vAlign w:val="center"/>
          </w:tcPr>
          <w:p w14:paraId="2F1E35FA"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601"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5FC" w14:textId="77777777" w:rsidR="00EF649D" w:rsidRDefault="00EA0F7C">
            <w:pPr>
              <w:jc w:val="center"/>
              <w:rPr>
                <w:rFonts w:ascii="Times New Roman" w:hAnsi="Times New Roman" w:cs="Times New Roman"/>
              </w:rPr>
            </w:pPr>
            <w:r>
              <w:rPr>
                <w:rFonts w:ascii="Times New Roman" w:hAnsi="Times New Roman" w:cs="Times New Roman"/>
              </w:rPr>
              <w:t>MSY</w:t>
            </w:r>
          </w:p>
        </w:tc>
        <w:tc>
          <w:tcPr>
            <w:tcW w:w="0" w:type="auto"/>
            <w:tcBorders>
              <w:top w:val="nil"/>
              <w:left w:val="nil"/>
              <w:bottom w:val="nil"/>
              <w:right w:val="nil"/>
            </w:tcBorders>
            <w:tcMar>
              <w:top w:w="-1" w:type="dxa"/>
              <w:left w:w="-1" w:type="dxa"/>
              <w:bottom w:w="-1" w:type="dxa"/>
              <w:right w:w="-1" w:type="dxa"/>
            </w:tcMar>
            <w:vAlign w:val="center"/>
          </w:tcPr>
          <w:p w14:paraId="2F1E35FD" w14:textId="77777777" w:rsidR="00EF649D" w:rsidRDefault="00EA0F7C">
            <w:pPr>
              <w:jc w:val="cente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Mar>
              <w:top w:w="-1" w:type="dxa"/>
              <w:left w:w="-1" w:type="dxa"/>
              <w:bottom w:w="-1" w:type="dxa"/>
              <w:right w:w="-1" w:type="dxa"/>
            </w:tcMar>
            <w:vAlign w:val="center"/>
          </w:tcPr>
          <w:p w14:paraId="2F1E35FE" w14:textId="77777777" w:rsidR="00EF649D" w:rsidRDefault="00EA0F7C">
            <w:pPr>
              <w:jc w:val="center"/>
              <w:rPr>
                <w:rFonts w:ascii="Times New Roman" w:hAnsi="Times New Roman" w:cs="Times New Roman"/>
              </w:rPr>
            </w:pPr>
            <w:r>
              <w:rPr>
                <w:rFonts w:ascii="Times New Roman" w:hAnsi="Times New Roman" w:cs="Times New Roman"/>
              </w:rPr>
              <w:t>1.0005</w:t>
            </w:r>
          </w:p>
        </w:tc>
        <w:tc>
          <w:tcPr>
            <w:tcW w:w="0" w:type="auto"/>
            <w:tcBorders>
              <w:top w:val="nil"/>
              <w:left w:val="nil"/>
              <w:bottom w:val="nil"/>
              <w:right w:val="nil"/>
            </w:tcBorders>
            <w:tcMar>
              <w:top w:w="-1" w:type="dxa"/>
              <w:left w:w="-1" w:type="dxa"/>
              <w:bottom w:w="-1" w:type="dxa"/>
              <w:right w:w="-1" w:type="dxa"/>
            </w:tcMar>
            <w:vAlign w:val="center"/>
          </w:tcPr>
          <w:p w14:paraId="2F1E35FF" w14:textId="77777777" w:rsidR="00EF649D" w:rsidRDefault="00EA0F7C">
            <w:pPr>
              <w:jc w:val="center"/>
              <w:rPr>
                <w:rFonts w:ascii="Times New Roman" w:hAnsi="Times New Roman" w:cs="Times New Roman"/>
              </w:rPr>
            </w:pPr>
            <w:r>
              <w:rPr>
                <w:rFonts w:ascii="Times New Roman" w:hAnsi="Times New Roman" w:cs="Times New Roman"/>
              </w:rPr>
              <w:t>7102.3</w:t>
            </w:r>
          </w:p>
        </w:tc>
        <w:tc>
          <w:tcPr>
            <w:tcW w:w="1875" w:type="dxa"/>
            <w:tcBorders>
              <w:top w:val="nil"/>
              <w:left w:val="nil"/>
              <w:bottom w:val="nil"/>
              <w:right w:val="nil"/>
            </w:tcBorders>
            <w:tcMar>
              <w:top w:w="-1" w:type="dxa"/>
              <w:left w:w="-1" w:type="dxa"/>
              <w:bottom w:w="-1" w:type="dxa"/>
              <w:right w:w="-1" w:type="dxa"/>
            </w:tcMar>
            <w:vAlign w:val="center"/>
          </w:tcPr>
          <w:p w14:paraId="2F1E3600"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607"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F1E3602" w14:textId="77777777" w:rsidR="00EF649D" w:rsidRDefault="00EA0F7C">
            <w:pPr>
              <w:jc w:val="center"/>
              <w:rPr>
                <w:rFonts w:ascii="Times New Roman" w:hAnsi="Times New Roman" w:cs="Times New Roman"/>
              </w:rPr>
            </w:pPr>
            <w:r>
              <w:rPr>
                <w:rFonts w:ascii="Times New Roman" w:hAnsi="Times New Roman" w:cs="Times New Roman"/>
              </w:rPr>
              <w:t>B/B</w:t>
            </w:r>
            <w:r>
              <w:rPr>
                <w:rFonts w:ascii="Times New Roman" w:hAnsi="Times New Roman" w:cs="Times New Roman"/>
                <w:vertAlign w:val="subscript"/>
              </w:rPr>
              <w:t>MSY_2025</w:t>
            </w:r>
          </w:p>
        </w:tc>
        <w:tc>
          <w:tcPr>
            <w:tcW w:w="0" w:type="auto"/>
            <w:tcBorders>
              <w:top w:val="nil"/>
              <w:left w:val="nil"/>
              <w:bottom w:val="nil"/>
              <w:right w:val="nil"/>
            </w:tcBorders>
            <w:tcMar>
              <w:top w:w="-1" w:type="dxa"/>
              <w:left w:w="-1" w:type="dxa"/>
              <w:bottom w:w="-1" w:type="dxa"/>
              <w:right w:w="-1" w:type="dxa"/>
            </w:tcMar>
            <w:vAlign w:val="center"/>
          </w:tcPr>
          <w:p w14:paraId="2F1E3603" w14:textId="77777777" w:rsidR="00EF649D" w:rsidRDefault="00EA0F7C">
            <w:pPr>
              <w:jc w:val="center"/>
              <w:rPr>
                <w:rFonts w:ascii="Times New Roman" w:hAnsi="Times New Roman" w:cs="Times New Roman"/>
              </w:rPr>
            </w:pPr>
            <w:r>
              <w:rPr>
                <w:rFonts w:ascii="Times New Roman" w:hAnsi="Times New Roman" w:cs="Times New Roman"/>
              </w:rPr>
              <w:t>1.0003</w:t>
            </w:r>
          </w:p>
        </w:tc>
        <w:tc>
          <w:tcPr>
            <w:tcW w:w="0" w:type="auto"/>
            <w:tcBorders>
              <w:top w:val="nil"/>
              <w:left w:val="nil"/>
              <w:bottom w:val="nil"/>
              <w:right w:val="nil"/>
            </w:tcBorders>
            <w:tcMar>
              <w:top w:w="-1" w:type="dxa"/>
              <w:left w:w="-1" w:type="dxa"/>
              <w:bottom w:w="-1" w:type="dxa"/>
              <w:right w:w="-1" w:type="dxa"/>
            </w:tcMar>
            <w:vAlign w:val="center"/>
          </w:tcPr>
          <w:p w14:paraId="2F1E3604" w14:textId="77777777" w:rsidR="00EF649D" w:rsidRDefault="00EA0F7C">
            <w:pPr>
              <w:jc w:val="center"/>
              <w:rPr>
                <w:rFonts w:ascii="Times New Roman" w:hAnsi="Times New Roman" w:cs="Times New Roman"/>
              </w:rPr>
            </w:pPr>
            <w:r>
              <w:rPr>
                <w:rFonts w:ascii="Times New Roman" w:hAnsi="Times New Roman" w:cs="Times New Roman"/>
              </w:rPr>
              <w:t>1.0004</w:t>
            </w:r>
          </w:p>
        </w:tc>
        <w:tc>
          <w:tcPr>
            <w:tcW w:w="0" w:type="auto"/>
            <w:tcBorders>
              <w:top w:val="nil"/>
              <w:left w:val="nil"/>
              <w:bottom w:val="nil"/>
              <w:right w:val="nil"/>
            </w:tcBorders>
            <w:tcMar>
              <w:top w:w="-1" w:type="dxa"/>
              <w:left w:w="-1" w:type="dxa"/>
              <w:bottom w:w="-1" w:type="dxa"/>
              <w:right w:w="-1" w:type="dxa"/>
            </w:tcMar>
            <w:vAlign w:val="center"/>
          </w:tcPr>
          <w:p w14:paraId="2F1E3605" w14:textId="77777777" w:rsidR="00EF649D" w:rsidRDefault="00EA0F7C">
            <w:pPr>
              <w:jc w:val="center"/>
              <w:rPr>
                <w:rFonts w:ascii="Times New Roman" w:hAnsi="Times New Roman" w:cs="Times New Roman"/>
              </w:rPr>
            </w:pPr>
            <w:r>
              <w:rPr>
                <w:rFonts w:ascii="Times New Roman" w:hAnsi="Times New Roman" w:cs="Times New Roman"/>
              </w:rPr>
              <w:t>7500</w:t>
            </w:r>
          </w:p>
        </w:tc>
        <w:tc>
          <w:tcPr>
            <w:tcW w:w="1875" w:type="dxa"/>
            <w:tcBorders>
              <w:top w:val="nil"/>
              <w:left w:val="nil"/>
              <w:bottom w:val="nil"/>
              <w:right w:val="nil"/>
            </w:tcBorders>
            <w:tcMar>
              <w:top w:w="-1" w:type="dxa"/>
              <w:left w:w="-1" w:type="dxa"/>
              <w:bottom w:w="-1" w:type="dxa"/>
              <w:right w:w="-1" w:type="dxa"/>
            </w:tcMar>
            <w:vAlign w:val="center"/>
          </w:tcPr>
          <w:p w14:paraId="2F1E3606" w14:textId="77777777" w:rsidR="00EF649D" w:rsidRDefault="00EA0F7C">
            <w:pPr>
              <w:jc w:val="center"/>
              <w:rPr>
                <w:rFonts w:ascii="Times New Roman" w:hAnsi="Times New Roman" w:cs="Times New Roman"/>
              </w:rPr>
            </w:pPr>
            <w:r>
              <w:rPr>
                <w:rFonts w:ascii="Times New Roman" w:hAnsi="Times New Roman" w:cs="Times New Roman"/>
              </w:rPr>
              <w:t>Converged</w:t>
            </w:r>
          </w:p>
        </w:tc>
      </w:tr>
      <w:tr w:rsidR="00EF649D" w14:paraId="2F1E360D" w14:textId="77777777">
        <w:trPr>
          <w:jc w:val="center"/>
        </w:trPr>
        <w:tc>
          <w:tcPr>
            <w:tcW w:w="2216" w:type="dxa"/>
            <w:tcBorders>
              <w:top w:val="nil"/>
              <w:left w:val="nil"/>
              <w:bottom w:val="single" w:sz="12" w:space="0" w:color="auto"/>
              <w:right w:val="nil"/>
            </w:tcBorders>
            <w:tcMar>
              <w:top w:w="-1" w:type="dxa"/>
              <w:left w:w="-1" w:type="dxa"/>
              <w:bottom w:w="-1" w:type="dxa"/>
              <w:right w:w="-1" w:type="dxa"/>
            </w:tcMar>
            <w:vAlign w:val="center"/>
          </w:tcPr>
          <w:p w14:paraId="2F1E3608" w14:textId="77777777" w:rsidR="00EF649D" w:rsidRDefault="00EA0F7C">
            <w:pPr>
              <w:jc w:val="center"/>
              <w:rPr>
                <w:rFonts w:ascii="Times New Roman" w:hAnsi="Times New Roman" w:cs="Times New Roman"/>
              </w:rPr>
            </w:pPr>
            <w:r>
              <w:rPr>
                <w:rFonts w:ascii="Times New Roman" w:hAnsi="Times New Roman" w:cs="Times New Roman"/>
              </w:rPr>
              <w:t>F/F</w:t>
            </w:r>
            <w:r>
              <w:rPr>
                <w:rFonts w:ascii="Times New Roman" w:hAnsi="Times New Roman" w:cs="Times New Roman"/>
                <w:vertAlign w:val="subscript"/>
              </w:rPr>
              <w:t>MSY_2025</w:t>
            </w:r>
          </w:p>
        </w:tc>
        <w:tc>
          <w:tcPr>
            <w:tcW w:w="1362" w:type="dxa"/>
            <w:tcBorders>
              <w:top w:val="nil"/>
              <w:left w:val="nil"/>
              <w:bottom w:val="single" w:sz="12" w:space="0" w:color="auto"/>
              <w:right w:val="nil"/>
            </w:tcBorders>
            <w:tcMar>
              <w:top w:w="-1" w:type="dxa"/>
              <w:left w:w="-1" w:type="dxa"/>
              <w:bottom w:w="-1" w:type="dxa"/>
              <w:right w:w="-1" w:type="dxa"/>
            </w:tcMar>
            <w:vAlign w:val="center"/>
          </w:tcPr>
          <w:p w14:paraId="2F1E3609" w14:textId="77777777" w:rsidR="00EF649D" w:rsidRDefault="00EA0F7C">
            <w:pPr>
              <w:jc w:val="center"/>
              <w:rPr>
                <w:rFonts w:ascii="Times New Roman" w:hAnsi="Times New Roman" w:cs="Times New Roman"/>
              </w:rPr>
            </w:pPr>
            <w:r>
              <w:rPr>
                <w:rFonts w:ascii="Times New Roman" w:hAnsi="Times New Roman" w:cs="Times New Roman"/>
              </w:rPr>
              <w:t>1.0007</w:t>
            </w:r>
          </w:p>
        </w:tc>
        <w:tc>
          <w:tcPr>
            <w:tcW w:w="1704" w:type="dxa"/>
            <w:tcBorders>
              <w:top w:val="nil"/>
              <w:left w:val="nil"/>
              <w:bottom w:val="single" w:sz="12" w:space="0" w:color="auto"/>
              <w:right w:val="nil"/>
            </w:tcBorders>
            <w:tcMar>
              <w:top w:w="-1" w:type="dxa"/>
              <w:left w:w="-1" w:type="dxa"/>
              <w:bottom w:w="-1" w:type="dxa"/>
              <w:right w:w="-1" w:type="dxa"/>
            </w:tcMar>
            <w:vAlign w:val="center"/>
          </w:tcPr>
          <w:p w14:paraId="2F1E360A" w14:textId="77777777" w:rsidR="00EF649D" w:rsidRDefault="00EA0F7C">
            <w:pPr>
              <w:jc w:val="center"/>
              <w:rPr>
                <w:rFonts w:ascii="Times New Roman" w:hAnsi="Times New Roman" w:cs="Times New Roman"/>
              </w:rPr>
            </w:pPr>
            <w:r>
              <w:rPr>
                <w:rFonts w:ascii="Times New Roman" w:hAnsi="Times New Roman" w:cs="Times New Roman"/>
              </w:rPr>
              <w:t>1.0012</w:t>
            </w:r>
          </w:p>
        </w:tc>
        <w:tc>
          <w:tcPr>
            <w:tcW w:w="1362" w:type="dxa"/>
            <w:tcBorders>
              <w:top w:val="nil"/>
              <w:left w:val="nil"/>
              <w:bottom w:val="single" w:sz="12" w:space="0" w:color="auto"/>
              <w:right w:val="nil"/>
            </w:tcBorders>
            <w:tcMar>
              <w:top w:w="-1" w:type="dxa"/>
              <w:left w:w="-1" w:type="dxa"/>
              <w:bottom w:w="-1" w:type="dxa"/>
              <w:right w:w="-1" w:type="dxa"/>
            </w:tcMar>
            <w:vAlign w:val="center"/>
          </w:tcPr>
          <w:p w14:paraId="2F1E360B" w14:textId="77777777" w:rsidR="00EF649D" w:rsidRDefault="00EA0F7C">
            <w:pPr>
              <w:jc w:val="center"/>
              <w:rPr>
                <w:rFonts w:ascii="Times New Roman" w:hAnsi="Times New Roman" w:cs="Times New Roman"/>
              </w:rPr>
            </w:pPr>
            <w:r>
              <w:rPr>
                <w:rFonts w:ascii="Times New Roman" w:hAnsi="Times New Roman" w:cs="Times New Roman"/>
              </w:rPr>
              <w:t>7500</w:t>
            </w:r>
          </w:p>
        </w:tc>
        <w:tc>
          <w:tcPr>
            <w:tcW w:w="1875" w:type="dxa"/>
            <w:tcBorders>
              <w:top w:val="nil"/>
              <w:left w:val="nil"/>
              <w:bottom w:val="single" w:sz="12" w:space="0" w:color="auto"/>
              <w:right w:val="nil"/>
            </w:tcBorders>
            <w:tcMar>
              <w:top w:w="-1" w:type="dxa"/>
              <w:left w:w="-1" w:type="dxa"/>
              <w:bottom w:w="-1" w:type="dxa"/>
              <w:right w:w="-1" w:type="dxa"/>
            </w:tcMar>
            <w:vAlign w:val="center"/>
          </w:tcPr>
          <w:p w14:paraId="2F1E360C" w14:textId="77777777" w:rsidR="00EF649D" w:rsidRDefault="00EA0F7C">
            <w:pPr>
              <w:jc w:val="center"/>
              <w:rPr>
                <w:rFonts w:ascii="Times New Roman" w:hAnsi="Times New Roman" w:cs="Times New Roman"/>
              </w:rPr>
            </w:pPr>
            <w:r>
              <w:rPr>
                <w:rFonts w:ascii="Times New Roman" w:hAnsi="Times New Roman" w:cs="Times New Roman"/>
              </w:rPr>
              <w:t>Converged</w:t>
            </w:r>
          </w:p>
        </w:tc>
      </w:tr>
    </w:tbl>
    <w:p w14:paraId="2F1E360E" w14:textId="77777777" w:rsidR="00EF649D" w:rsidRDefault="00EF649D">
      <w:pPr>
        <w:rPr>
          <w:rFonts w:ascii="Times New Roman" w:hAnsi="Times New Roman" w:cs="Times New Roman"/>
        </w:rPr>
      </w:pPr>
    </w:p>
    <w:p w14:paraId="2F1E360F" w14:textId="77777777" w:rsidR="00EF649D" w:rsidRDefault="00EF649D">
      <w:pPr>
        <w:rPr>
          <w:rFonts w:ascii="Times New Roman" w:hAnsi="Times New Roman" w:cs="Times New Roman"/>
        </w:rPr>
      </w:pPr>
    </w:p>
    <w:p w14:paraId="2F1E3610" w14:textId="77777777" w:rsidR="00EF649D" w:rsidRDefault="00EA0F7C">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2</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winter-spring cohort of </w:t>
      </w:r>
      <w:r>
        <w:rPr>
          <w:rFonts w:ascii="Times New Roman" w:eastAsia="SimSun" w:hAnsi="Times New Roman" w:cs="Times New Roman" w:hint="eastAsia"/>
          <w:color w:val="0F1115"/>
          <w:szCs w:val="21"/>
          <w:shd w:val="clear" w:color="auto" w:fill="FFFFFF"/>
        </w:rPr>
        <w:t>NFS</w:t>
      </w:r>
    </w:p>
    <w:tbl>
      <w:tblPr>
        <w:tblW w:w="5095" w:type="pct"/>
        <w:jc w:val="center"/>
        <w:tblLayout w:type="fixed"/>
        <w:tblCellMar>
          <w:left w:w="0" w:type="dxa"/>
          <w:right w:w="0" w:type="dxa"/>
        </w:tblCellMar>
        <w:tblLook w:val="04A0" w:firstRow="1" w:lastRow="0" w:firstColumn="1" w:lastColumn="0" w:noHBand="0" w:noVBand="1"/>
      </w:tblPr>
      <w:tblGrid>
        <w:gridCol w:w="923"/>
        <w:gridCol w:w="1725"/>
        <w:gridCol w:w="2209"/>
        <w:gridCol w:w="2209"/>
        <w:gridCol w:w="1398"/>
      </w:tblGrid>
      <w:tr w:rsidR="00EF649D" w14:paraId="2F1E3616" w14:textId="77777777">
        <w:trPr>
          <w:tblHeader/>
          <w:jc w:val="center"/>
        </w:trPr>
        <w:tc>
          <w:tcPr>
            <w:tcW w:w="545" w:type="pct"/>
            <w:tcBorders>
              <w:top w:val="single" w:sz="12" w:space="0" w:color="000000"/>
              <w:left w:val="nil"/>
              <w:bottom w:val="nil"/>
              <w:right w:val="nil"/>
            </w:tcBorders>
            <w:tcMar>
              <w:top w:w="-1" w:type="dxa"/>
              <w:left w:w="-1" w:type="dxa"/>
              <w:bottom w:w="-1" w:type="dxa"/>
              <w:right w:w="-1" w:type="dxa"/>
            </w:tcMar>
            <w:vAlign w:val="center"/>
          </w:tcPr>
          <w:p w14:paraId="2F1E3611" w14:textId="77777777" w:rsidR="00EF649D" w:rsidRDefault="00EA0F7C">
            <w:pPr>
              <w:snapToGrid w:val="0"/>
              <w:jc w:val="center"/>
              <w:rPr>
                <w:rFonts w:ascii="Times New Roman" w:hAnsi="Times New Roman" w:cs="Times New Roman"/>
                <w:bCs/>
                <w:szCs w:val="21"/>
              </w:rPr>
            </w:pPr>
            <w:r>
              <w:rPr>
                <w:rFonts w:ascii="Times New Roman" w:hAnsi="Times New Roman" w:cs="Times New Roman"/>
                <w:bCs/>
                <w:szCs w:val="21"/>
              </w:rPr>
              <w:t>Parameter</w:t>
            </w:r>
          </w:p>
        </w:tc>
        <w:tc>
          <w:tcPr>
            <w:tcW w:w="1019" w:type="pct"/>
            <w:tcBorders>
              <w:top w:val="single" w:sz="12" w:space="0" w:color="000000"/>
              <w:left w:val="nil"/>
              <w:bottom w:val="nil"/>
              <w:right w:val="nil"/>
            </w:tcBorders>
            <w:tcMar>
              <w:top w:w="-1" w:type="dxa"/>
              <w:left w:w="-1" w:type="dxa"/>
              <w:bottom w:w="-1" w:type="dxa"/>
              <w:right w:w="-1" w:type="dxa"/>
            </w:tcMar>
            <w:vAlign w:val="center"/>
          </w:tcPr>
          <w:p w14:paraId="2F1E3612" w14:textId="77777777" w:rsidR="00EF649D" w:rsidRDefault="00EA0F7C">
            <w:pPr>
              <w:snapToGrid w:val="0"/>
              <w:jc w:val="center"/>
              <w:rPr>
                <w:rFonts w:ascii="Times New Roman" w:hAnsi="Times New Roman" w:cs="Times New Roman"/>
                <w:bCs/>
                <w:szCs w:val="21"/>
              </w:rPr>
            </w:pPr>
            <w:r>
              <w:rPr>
                <w:rFonts w:ascii="Times New Roman" w:hAnsi="Times New Roman" w:cs="Times New Roman"/>
                <w:bCs/>
                <w:szCs w:val="21"/>
              </w:rPr>
              <w:t>Nominal CPUE</w:t>
            </w:r>
          </w:p>
        </w:tc>
        <w:tc>
          <w:tcPr>
            <w:tcW w:w="1304" w:type="pct"/>
            <w:tcBorders>
              <w:top w:val="single" w:sz="12" w:space="0" w:color="000000"/>
              <w:left w:val="nil"/>
              <w:bottom w:val="nil"/>
              <w:right w:val="nil"/>
            </w:tcBorders>
            <w:tcMar>
              <w:top w:w="-1" w:type="dxa"/>
              <w:left w:w="-1" w:type="dxa"/>
              <w:bottom w:w="-1" w:type="dxa"/>
              <w:right w:w="-1" w:type="dxa"/>
            </w:tcMar>
            <w:vAlign w:val="center"/>
          </w:tcPr>
          <w:p w14:paraId="2F1E3613" w14:textId="77777777" w:rsidR="00EF649D" w:rsidRDefault="00EA0F7C">
            <w:pPr>
              <w:snapToGrid w:val="0"/>
              <w:jc w:val="center"/>
              <w:rPr>
                <w:rFonts w:ascii="Times New Roman" w:hAnsi="Times New Roman" w:cs="Times New Roman"/>
                <w:bCs/>
                <w:szCs w:val="21"/>
              </w:rPr>
            </w:pPr>
            <w:r>
              <w:rPr>
                <w:rFonts w:ascii="Times New Roman" w:hAnsi="Times New Roman" w:cs="Times New Roman"/>
                <w:bCs/>
                <w:szCs w:val="21"/>
              </w:rPr>
              <w:t>GAM-standardized CPUE</w:t>
            </w:r>
          </w:p>
        </w:tc>
        <w:tc>
          <w:tcPr>
            <w:tcW w:w="1304" w:type="pct"/>
            <w:tcBorders>
              <w:top w:val="single" w:sz="12" w:space="0" w:color="000000"/>
              <w:left w:val="nil"/>
              <w:bottom w:val="nil"/>
              <w:right w:val="nil"/>
            </w:tcBorders>
            <w:tcMar>
              <w:top w:w="-1" w:type="dxa"/>
              <w:left w:w="-1" w:type="dxa"/>
              <w:bottom w:w="-1" w:type="dxa"/>
              <w:right w:w="-1" w:type="dxa"/>
            </w:tcMar>
            <w:vAlign w:val="center"/>
          </w:tcPr>
          <w:p w14:paraId="2F1E3614" w14:textId="77777777" w:rsidR="00EF649D" w:rsidRDefault="00EA0F7C">
            <w:pPr>
              <w:snapToGrid w:val="0"/>
              <w:jc w:val="center"/>
              <w:rPr>
                <w:rFonts w:ascii="Times New Roman" w:hAnsi="Times New Roman" w:cs="Times New Roman"/>
                <w:bCs/>
                <w:szCs w:val="21"/>
              </w:rPr>
            </w:pPr>
            <w:r>
              <w:rPr>
                <w:rFonts w:ascii="Times New Roman" w:hAnsi="Times New Roman" w:cs="Times New Roman"/>
                <w:bCs/>
                <w:szCs w:val="21"/>
              </w:rPr>
              <w:t>RF-standardized CPUE</w:t>
            </w:r>
          </w:p>
        </w:tc>
        <w:tc>
          <w:tcPr>
            <w:tcW w:w="826" w:type="pct"/>
            <w:tcBorders>
              <w:top w:val="single" w:sz="12" w:space="0" w:color="000000"/>
              <w:left w:val="nil"/>
              <w:bottom w:val="nil"/>
              <w:right w:val="nil"/>
            </w:tcBorders>
            <w:tcMar>
              <w:top w:w="-1" w:type="dxa"/>
              <w:left w:w="-1" w:type="dxa"/>
              <w:bottom w:w="-1" w:type="dxa"/>
              <w:right w:w="-1" w:type="dxa"/>
            </w:tcMar>
            <w:vAlign w:val="center"/>
          </w:tcPr>
          <w:p w14:paraId="2F1E3615" w14:textId="77777777" w:rsidR="00EF649D" w:rsidRDefault="00EA0F7C">
            <w:pPr>
              <w:snapToGrid w:val="0"/>
              <w:jc w:val="center"/>
              <w:rPr>
                <w:rFonts w:ascii="Times New Roman" w:hAnsi="Times New Roman" w:cs="Times New Roman"/>
                <w:bCs/>
                <w:szCs w:val="21"/>
              </w:rPr>
            </w:pPr>
            <w:r>
              <w:rPr>
                <w:rFonts w:ascii="Times New Roman" w:hAnsi="Times New Roman" w:cs="Times New Roman"/>
                <w:bCs/>
                <w:szCs w:val="21"/>
              </w:rPr>
              <w:t>GBM-standardized CPUE</w:t>
            </w:r>
          </w:p>
        </w:tc>
      </w:tr>
      <w:tr w:rsidR="00EF649D" w14:paraId="2F1E361C" w14:textId="77777777">
        <w:trPr>
          <w:jc w:val="center"/>
        </w:trPr>
        <w:tc>
          <w:tcPr>
            <w:tcW w:w="545" w:type="pct"/>
            <w:tcBorders>
              <w:top w:val="single" w:sz="4" w:space="0" w:color="000000"/>
              <w:left w:val="nil"/>
              <w:bottom w:val="nil"/>
              <w:right w:val="nil"/>
            </w:tcBorders>
            <w:tcMar>
              <w:top w:w="-1" w:type="dxa"/>
              <w:left w:w="-1" w:type="dxa"/>
              <w:bottom w:w="-1" w:type="dxa"/>
              <w:right w:w="-1" w:type="dxa"/>
            </w:tcMar>
            <w:vAlign w:val="center"/>
          </w:tcPr>
          <w:p w14:paraId="2F1E3617" w14:textId="77777777" w:rsidR="00EF649D" w:rsidRDefault="00EA0F7C">
            <w:pPr>
              <w:snapToGrid w:val="0"/>
              <w:jc w:val="center"/>
              <w:rPr>
                <w:rFonts w:ascii="Times New Roman" w:hAnsi="Times New Roman" w:cs="Times New Roman"/>
                <w:szCs w:val="21"/>
              </w:rPr>
            </w:pPr>
            <w:r>
              <w:rPr>
                <w:rFonts w:ascii="Times New Roman" w:hAnsi="Times New Roman" w:cs="Times New Roman"/>
                <w:szCs w:val="21"/>
              </w:rPr>
              <w:t>MSY</w:t>
            </w:r>
          </w:p>
        </w:tc>
        <w:tc>
          <w:tcPr>
            <w:tcW w:w="1725" w:type="dxa"/>
            <w:tcBorders>
              <w:top w:val="single" w:sz="4" w:space="0" w:color="000000"/>
              <w:left w:val="nil"/>
              <w:bottom w:val="nil"/>
              <w:right w:val="nil"/>
            </w:tcBorders>
            <w:tcMar>
              <w:top w:w="-1" w:type="dxa"/>
              <w:left w:w="-1" w:type="dxa"/>
              <w:bottom w:w="-1" w:type="dxa"/>
              <w:right w:w="-1" w:type="dxa"/>
            </w:tcMar>
            <w:vAlign w:val="center"/>
          </w:tcPr>
          <w:p w14:paraId="2F1E3618" w14:textId="77777777" w:rsidR="00EF649D" w:rsidRDefault="00EA0F7C">
            <w:pPr>
              <w:jc w:val="center"/>
              <w:rPr>
                <w:rFonts w:ascii="Times New Roman" w:hAnsi="Times New Roman" w:cs="Times New Roman"/>
              </w:rPr>
            </w:pPr>
            <w:r>
              <w:rPr>
                <w:rFonts w:ascii="Times New Roman" w:hAnsi="Times New Roman" w:cs="Times New Roman"/>
              </w:rPr>
              <w:t>89489.321</w:t>
            </w:r>
            <w:r>
              <w:rPr>
                <w:rFonts w:ascii="Times New Roman" w:hAnsi="Times New Roman" w:cs="Times New Roman"/>
              </w:rPr>
              <w:br/>
              <w:t>(45186.049-233620.425)</w:t>
            </w:r>
          </w:p>
        </w:tc>
        <w:tc>
          <w:tcPr>
            <w:tcW w:w="2208" w:type="dxa"/>
            <w:tcBorders>
              <w:top w:val="single" w:sz="4" w:space="0" w:color="000000"/>
              <w:left w:val="nil"/>
              <w:bottom w:val="nil"/>
              <w:right w:val="nil"/>
            </w:tcBorders>
            <w:tcMar>
              <w:top w:w="-1" w:type="dxa"/>
              <w:left w:w="-1" w:type="dxa"/>
              <w:bottom w:w="-1" w:type="dxa"/>
              <w:right w:w="-1" w:type="dxa"/>
            </w:tcMar>
            <w:vAlign w:val="center"/>
          </w:tcPr>
          <w:p w14:paraId="2F1E3619" w14:textId="77777777" w:rsidR="00EF649D" w:rsidRDefault="00EA0F7C">
            <w:pPr>
              <w:jc w:val="center"/>
              <w:rPr>
                <w:rFonts w:ascii="Times New Roman" w:hAnsi="Times New Roman" w:cs="Times New Roman"/>
              </w:rPr>
            </w:pPr>
            <w:r>
              <w:rPr>
                <w:rFonts w:ascii="Times New Roman" w:hAnsi="Times New Roman" w:cs="Times New Roman"/>
              </w:rPr>
              <w:t>57379.430</w:t>
            </w:r>
            <w:r>
              <w:rPr>
                <w:rFonts w:ascii="Times New Roman" w:hAnsi="Times New Roman" w:cs="Times New Roman"/>
              </w:rPr>
              <w:br/>
              <w:t>(42468.999-78873.599)</w:t>
            </w:r>
          </w:p>
        </w:tc>
        <w:tc>
          <w:tcPr>
            <w:tcW w:w="2208" w:type="dxa"/>
            <w:tcBorders>
              <w:top w:val="single" w:sz="4" w:space="0" w:color="000000"/>
              <w:left w:val="nil"/>
              <w:bottom w:val="nil"/>
              <w:right w:val="nil"/>
            </w:tcBorders>
            <w:tcMar>
              <w:top w:w="-1" w:type="dxa"/>
              <w:left w:w="-1" w:type="dxa"/>
              <w:bottom w:w="-1" w:type="dxa"/>
              <w:right w:w="-1" w:type="dxa"/>
            </w:tcMar>
            <w:vAlign w:val="center"/>
          </w:tcPr>
          <w:p w14:paraId="2F1E361A" w14:textId="77777777" w:rsidR="00EF649D" w:rsidRDefault="00EA0F7C">
            <w:pPr>
              <w:jc w:val="center"/>
              <w:rPr>
                <w:rFonts w:ascii="Times New Roman" w:hAnsi="Times New Roman" w:cs="Times New Roman"/>
              </w:rPr>
            </w:pPr>
            <w:r>
              <w:rPr>
                <w:rFonts w:ascii="Times New Roman" w:hAnsi="Times New Roman" w:cs="Times New Roman"/>
              </w:rPr>
              <w:t>57616.552</w:t>
            </w:r>
            <w:r>
              <w:rPr>
                <w:rFonts w:ascii="Times New Roman" w:hAnsi="Times New Roman" w:cs="Times New Roman"/>
              </w:rPr>
              <w:br/>
              <w:t>(41134.995-119002.433)</w:t>
            </w:r>
          </w:p>
        </w:tc>
        <w:tc>
          <w:tcPr>
            <w:tcW w:w="1399" w:type="dxa"/>
            <w:tcBorders>
              <w:top w:val="single" w:sz="4" w:space="0" w:color="000000"/>
              <w:left w:val="nil"/>
              <w:bottom w:val="nil"/>
              <w:right w:val="nil"/>
            </w:tcBorders>
            <w:tcMar>
              <w:top w:w="-1" w:type="dxa"/>
              <w:left w:w="-1" w:type="dxa"/>
              <w:bottom w:w="-1" w:type="dxa"/>
              <w:right w:w="-1" w:type="dxa"/>
            </w:tcMar>
            <w:vAlign w:val="center"/>
          </w:tcPr>
          <w:p w14:paraId="2F1E361B" w14:textId="77777777" w:rsidR="00EF649D" w:rsidRDefault="00EA0F7C">
            <w:pPr>
              <w:jc w:val="center"/>
              <w:rPr>
                <w:rFonts w:ascii="Times New Roman" w:hAnsi="Times New Roman" w:cs="Times New Roman"/>
              </w:rPr>
            </w:pPr>
            <w:r>
              <w:rPr>
                <w:rFonts w:ascii="Times New Roman" w:hAnsi="Times New Roman" w:cs="Times New Roman"/>
              </w:rPr>
              <w:t>56367.444</w:t>
            </w:r>
            <w:r>
              <w:rPr>
                <w:rFonts w:ascii="Times New Roman" w:hAnsi="Times New Roman" w:cs="Times New Roman"/>
              </w:rPr>
              <w:br/>
              <w:t>(41067.921-79900.407)</w:t>
            </w:r>
          </w:p>
        </w:tc>
      </w:tr>
      <w:tr w:rsidR="00EF649D" w14:paraId="2F1E3622" w14:textId="77777777">
        <w:trPr>
          <w:jc w:val="center"/>
        </w:trPr>
        <w:tc>
          <w:tcPr>
            <w:tcW w:w="545" w:type="pct"/>
            <w:tcBorders>
              <w:top w:val="nil"/>
              <w:left w:val="nil"/>
              <w:bottom w:val="nil"/>
              <w:right w:val="nil"/>
            </w:tcBorders>
            <w:tcMar>
              <w:top w:w="-1" w:type="dxa"/>
              <w:left w:w="-1" w:type="dxa"/>
              <w:bottom w:w="-1" w:type="dxa"/>
              <w:right w:w="-1" w:type="dxa"/>
            </w:tcMar>
            <w:vAlign w:val="center"/>
          </w:tcPr>
          <w:p w14:paraId="2F1E361D" w14:textId="77777777" w:rsidR="00EF649D" w:rsidRDefault="00EA0F7C">
            <w:pPr>
              <w:snapToGrid w:val="0"/>
              <w:jc w:val="cente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vertAlign w:val="subscript"/>
              </w:rPr>
              <w:t>MSY</w:t>
            </w:r>
          </w:p>
        </w:tc>
        <w:tc>
          <w:tcPr>
            <w:tcW w:w="1725" w:type="dxa"/>
            <w:tcBorders>
              <w:top w:val="nil"/>
              <w:left w:val="nil"/>
              <w:bottom w:val="nil"/>
              <w:right w:val="nil"/>
            </w:tcBorders>
            <w:tcMar>
              <w:top w:w="-1" w:type="dxa"/>
              <w:left w:w="-1" w:type="dxa"/>
              <w:bottom w:w="-1" w:type="dxa"/>
              <w:right w:w="-1" w:type="dxa"/>
            </w:tcMar>
            <w:vAlign w:val="center"/>
          </w:tcPr>
          <w:p w14:paraId="2F1E361E" w14:textId="77777777" w:rsidR="00EF649D" w:rsidRDefault="00EA0F7C">
            <w:pPr>
              <w:jc w:val="center"/>
              <w:rPr>
                <w:rFonts w:ascii="Times New Roman" w:hAnsi="Times New Roman" w:cs="Times New Roman"/>
              </w:rPr>
            </w:pPr>
            <w:r>
              <w:rPr>
                <w:rFonts w:ascii="Times New Roman" w:hAnsi="Times New Roman" w:cs="Times New Roman"/>
              </w:rPr>
              <w:t>290162.147</w:t>
            </w:r>
            <w:r>
              <w:rPr>
                <w:rFonts w:ascii="Times New Roman" w:hAnsi="Times New Roman" w:cs="Times New Roman"/>
              </w:rPr>
              <w:br/>
              <w:t>(170707.359-643558.779)</w:t>
            </w:r>
          </w:p>
        </w:tc>
        <w:tc>
          <w:tcPr>
            <w:tcW w:w="2208" w:type="dxa"/>
            <w:tcBorders>
              <w:top w:val="nil"/>
              <w:left w:val="nil"/>
              <w:bottom w:val="nil"/>
              <w:right w:val="nil"/>
            </w:tcBorders>
            <w:tcMar>
              <w:top w:w="-1" w:type="dxa"/>
              <w:left w:w="-1" w:type="dxa"/>
              <w:bottom w:w="-1" w:type="dxa"/>
              <w:right w:w="-1" w:type="dxa"/>
            </w:tcMar>
            <w:vAlign w:val="center"/>
          </w:tcPr>
          <w:p w14:paraId="2F1E361F" w14:textId="77777777" w:rsidR="00EF649D" w:rsidRDefault="00EA0F7C">
            <w:pPr>
              <w:jc w:val="center"/>
              <w:rPr>
                <w:rFonts w:ascii="Times New Roman" w:hAnsi="Times New Roman" w:cs="Times New Roman"/>
              </w:rPr>
            </w:pPr>
            <w:r>
              <w:rPr>
                <w:rFonts w:ascii="Times New Roman" w:hAnsi="Times New Roman" w:cs="Times New Roman"/>
              </w:rPr>
              <w:t>238665.199</w:t>
            </w:r>
            <w:r>
              <w:rPr>
                <w:rFonts w:ascii="Times New Roman" w:hAnsi="Times New Roman" w:cs="Times New Roman"/>
              </w:rPr>
              <w:br/>
              <w:t>(179520.036-342208.911)</w:t>
            </w:r>
          </w:p>
        </w:tc>
        <w:tc>
          <w:tcPr>
            <w:tcW w:w="2208" w:type="dxa"/>
            <w:tcBorders>
              <w:top w:val="nil"/>
              <w:left w:val="nil"/>
              <w:bottom w:val="nil"/>
              <w:right w:val="nil"/>
            </w:tcBorders>
            <w:tcMar>
              <w:top w:w="-1" w:type="dxa"/>
              <w:left w:w="-1" w:type="dxa"/>
              <w:bottom w:w="-1" w:type="dxa"/>
              <w:right w:w="-1" w:type="dxa"/>
            </w:tcMar>
            <w:vAlign w:val="center"/>
          </w:tcPr>
          <w:p w14:paraId="2F1E3620" w14:textId="77777777" w:rsidR="00EF649D" w:rsidRDefault="00EA0F7C">
            <w:pPr>
              <w:jc w:val="center"/>
              <w:rPr>
                <w:rFonts w:ascii="Times New Roman" w:hAnsi="Times New Roman" w:cs="Times New Roman"/>
              </w:rPr>
            </w:pPr>
            <w:r>
              <w:rPr>
                <w:rFonts w:ascii="Times New Roman" w:hAnsi="Times New Roman" w:cs="Times New Roman"/>
              </w:rPr>
              <w:t>233320.837</w:t>
            </w:r>
            <w:r>
              <w:rPr>
                <w:rFonts w:ascii="Times New Roman" w:hAnsi="Times New Roman" w:cs="Times New Roman"/>
              </w:rPr>
              <w:br/>
              <w:t>(168677.888-413329.320)</w:t>
            </w:r>
          </w:p>
        </w:tc>
        <w:tc>
          <w:tcPr>
            <w:tcW w:w="1399" w:type="dxa"/>
            <w:tcBorders>
              <w:top w:val="nil"/>
              <w:left w:val="nil"/>
              <w:bottom w:val="nil"/>
              <w:right w:val="nil"/>
            </w:tcBorders>
            <w:tcMar>
              <w:top w:w="-1" w:type="dxa"/>
              <w:left w:w="-1" w:type="dxa"/>
              <w:bottom w:w="-1" w:type="dxa"/>
              <w:right w:w="-1" w:type="dxa"/>
            </w:tcMar>
            <w:vAlign w:val="center"/>
          </w:tcPr>
          <w:p w14:paraId="2F1E3621" w14:textId="77777777" w:rsidR="00EF649D" w:rsidRDefault="00EA0F7C">
            <w:pPr>
              <w:jc w:val="center"/>
              <w:rPr>
                <w:rFonts w:ascii="Times New Roman" w:hAnsi="Times New Roman" w:cs="Times New Roman"/>
              </w:rPr>
            </w:pPr>
            <w:r>
              <w:rPr>
                <w:rFonts w:ascii="Times New Roman" w:hAnsi="Times New Roman" w:cs="Times New Roman"/>
              </w:rPr>
              <w:t>245544.009</w:t>
            </w:r>
            <w:r>
              <w:rPr>
                <w:rFonts w:ascii="Times New Roman" w:hAnsi="Times New Roman" w:cs="Times New Roman"/>
              </w:rPr>
              <w:br/>
              <w:t>(177564.328-371378.654)</w:t>
            </w:r>
          </w:p>
        </w:tc>
      </w:tr>
      <w:tr w:rsidR="00EF649D" w14:paraId="2F1E3628" w14:textId="77777777">
        <w:trPr>
          <w:jc w:val="center"/>
        </w:trPr>
        <w:tc>
          <w:tcPr>
            <w:tcW w:w="545" w:type="pct"/>
            <w:tcBorders>
              <w:top w:val="nil"/>
              <w:left w:val="nil"/>
              <w:bottom w:val="nil"/>
              <w:right w:val="nil"/>
            </w:tcBorders>
            <w:tcMar>
              <w:top w:w="-1" w:type="dxa"/>
              <w:left w:w="-1" w:type="dxa"/>
              <w:bottom w:w="-1" w:type="dxa"/>
              <w:right w:w="-1" w:type="dxa"/>
            </w:tcMar>
            <w:vAlign w:val="center"/>
          </w:tcPr>
          <w:p w14:paraId="2F1E3623" w14:textId="77777777" w:rsidR="00EF649D" w:rsidRDefault="00EA0F7C">
            <w:pPr>
              <w:snapToGrid w:val="0"/>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szCs w:val="21"/>
                <w:vertAlign w:val="subscript"/>
              </w:rPr>
              <w:t>MSY</w:t>
            </w:r>
          </w:p>
        </w:tc>
        <w:tc>
          <w:tcPr>
            <w:tcW w:w="1725" w:type="dxa"/>
            <w:tcBorders>
              <w:top w:val="nil"/>
              <w:left w:val="nil"/>
              <w:bottom w:val="nil"/>
              <w:right w:val="nil"/>
            </w:tcBorders>
            <w:tcMar>
              <w:top w:w="-1" w:type="dxa"/>
              <w:left w:w="-1" w:type="dxa"/>
              <w:bottom w:w="-1" w:type="dxa"/>
              <w:right w:w="-1" w:type="dxa"/>
            </w:tcMar>
            <w:vAlign w:val="center"/>
          </w:tcPr>
          <w:p w14:paraId="2F1E3624" w14:textId="77777777" w:rsidR="00EF649D" w:rsidRDefault="00EA0F7C">
            <w:pPr>
              <w:jc w:val="center"/>
              <w:rPr>
                <w:rFonts w:ascii="Times New Roman" w:hAnsi="Times New Roman" w:cs="Times New Roman"/>
              </w:rPr>
            </w:pPr>
            <w:r>
              <w:rPr>
                <w:rFonts w:ascii="Times New Roman" w:hAnsi="Times New Roman" w:cs="Times New Roman"/>
              </w:rPr>
              <w:t>0.306</w:t>
            </w:r>
            <w:r>
              <w:rPr>
                <w:rFonts w:ascii="Times New Roman" w:hAnsi="Times New Roman" w:cs="Times New Roman"/>
              </w:rPr>
              <w:br/>
              <w:t>(0.209-0.471)</w:t>
            </w:r>
          </w:p>
        </w:tc>
        <w:tc>
          <w:tcPr>
            <w:tcW w:w="2208" w:type="dxa"/>
            <w:tcBorders>
              <w:top w:val="nil"/>
              <w:left w:val="nil"/>
              <w:bottom w:val="nil"/>
              <w:right w:val="nil"/>
            </w:tcBorders>
            <w:tcMar>
              <w:top w:w="-1" w:type="dxa"/>
              <w:left w:w="-1" w:type="dxa"/>
              <w:bottom w:w="-1" w:type="dxa"/>
              <w:right w:w="-1" w:type="dxa"/>
            </w:tcMar>
            <w:vAlign w:val="center"/>
          </w:tcPr>
          <w:p w14:paraId="2F1E3625" w14:textId="77777777" w:rsidR="00EF649D" w:rsidRDefault="00EA0F7C">
            <w:pPr>
              <w:jc w:val="center"/>
              <w:rPr>
                <w:rFonts w:ascii="Times New Roman" w:hAnsi="Times New Roman" w:cs="Times New Roman"/>
              </w:rPr>
            </w:pPr>
            <w:r>
              <w:rPr>
                <w:rFonts w:ascii="Times New Roman" w:hAnsi="Times New Roman" w:cs="Times New Roman"/>
              </w:rPr>
              <w:t>0.237</w:t>
            </w:r>
            <w:r>
              <w:rPr>
                <w:rFonts w:ascii="Times New Roman" w:hAnsi="Times New Roman" w:cs="Times New Roman"/>
              </w:rPr>
              <w:br/>
              <w:t>(0.177-0.318)</w:t>
            </w:r>
          </w:p>
        </w:tc>
        <w:tc>
          <w:tcPr>
            <w:tcW w:w="2208" w:type="dxa"/>
            <w:tcBorders>
              <w:top w:val="nil"/>
              <w:left w:val="nil"/>
              <w:bottom w:val="nil"/>
              <w:right w:val="nil"/>
            </w:tcBorders>
            <w:tcMar>
              <w:top w:w="-1" w:type="dxa"/>
              <w:left w:w="-1" w:type="dxa"/>
              <w:bottom w:w="-1" w:type="dxa"/>
              <w:right w:w="-1" w:type="dxa"/>
            </w:tcMar>
            <w:vAlign w:val="center"/>
          </w:tcPr>
          <w:p w14:paraId="2F1E3626" w14:textId="77777777" w:rsidR="00EF649D" w:rsidRDefault="00EA0F7C">
            <w:pPr>
              <w:jc w:val="center"/>
              <w:rPr>
                <w:rFonts w:ascii="Times New Roman" w:hAnsi="Times New Roman" w:cs="Times New Roman"/>
              </w:rPr>
            </w:pPr>
            <w:r>
              <w:rPr>
                <w:rFonts w:ascii="Times New Roman" w:hAnsi="Times New Roman" w:cs="Times New Roman"/>
              </w:rPr>
              <w:t>0.250</w:t>
            </w:r>
            <w:r>
              <w:rPr>
                <w:rFonts w:ascii="Times New Roman" w:hAnsi="Times New Roman" w:cs="Times New Roman"/>
              </w:rPr>
              <w:br/>
              <w:t>(0.180-0.353)</w:t>
            </w:r>
          </w:p>
        </w:tc>
        <w:tc>
          <w:tcPr>
            <w:tcW w:w="1399" w:type="dxa"/>
            <w:tcBorders>
              <w:top w:val="nil"/>
              <w:left w:val="nil"/>
              <w:bottom w:val="nil"/>
              <w:right w:val="nil"/>
            </w:tcBorders>
            <w:tcMar>
              <w:top w:w="-1" w:type="dxa"/>
              <w:left w:w="-1" w:type="dxa"/>
              <w:bottom w:w="-1" w:type="dxa"/>
              <w:right w:w="-1" w:type="dxa"/>
            </w:tcMar>
            <w:vAlign w:val="center"/>
          </w:tcPr>
          <w:p w14:paraId="2F1E3627" w14:textId="77777777" w:rsidR="00EF649D" w:rsidRDefault="00EA0F7C">
            <w:pPr>
              <w:jc w:val="center"/>
              <w:rPr>
                <w:rFonts w:ascii="Times New Roman" w:hAnsi="Times New Roman" w:cs="Times New Roman"/>
              </w:rPr>
            </w:pPr>
            <w:r>
              <w:rPr>
                <w:rFonts w:ascii="Times New Roman" w:hAnsi="Times New Roman" w:cs="Times New Roman"/>
              </w:rPr>
              <w:t>0.228</w:t>
            </w:r>
            <w:r>
              <w:rPr>
                <w:rFonts w:ascii="Times New Roman" w:hAnsi="Times New Roman" w:cs="Times New Roman"/>
              </w:rPr>
              <w:br/>
              <w:t>(0.167-0.310)</w:t>
            </w:r>
          </w:p>
        </w:tc>
      </w:tr>
      <w:tr w:rsidR="00EF649D" w14:paraId="2F1E362E" w14:textId="77777777">
        <w:trPr>
          <w:jc w:val="center"/>
        </w:trPr>
        <w:tc>
          <w:tcPr>
            <w:tcW w:w="545" w:type="pct"/>
            <w:tcBorders>
              <w:top w:val="nil"/>
              <w:left w:val="nil"/>
              <w:bottom w:val="nil"/>
              <w:right w:val="nil"/>
            </w:tcBorders>
            <w:tcMar>
              <w:top w:w="-1" w:type="dxa"/>
              <w:left w:w="-1" w:type="dxa"/>
              <w:bottom w:w="-1" w:type="dxa"/>
              <w:right w:w="-1" w:type="dxa"/>
            </w:tcMar>
            <w:vAlign w:val="center"/>
          </w:tcPr>
          <w:p w14:paraId="2F1E3629" w14:textId="77777777" w:rsidR="00EF649D" w:rsidRDefault="00EA0F7C">
            <w:pPr>
              <w:snapToGrid w:val="0"/>
              <w:jc w:val="cente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vertAlign w:val="subscript"/>
              </w:rPr>
              <w:t>2025</w:t>
            </w:r>
            <w:r>
              <w:rPr>
                <w:rFonts w:ascii="Times New Roman" w:hAnsi="Times New Roman" w:cs="Times New Roman"/>
                <w:szCs w:val="21"/>
              </w:rPr>
              <w:t>/B</w:t>
            </w:r>
            <w:r>
              <w:rPr>
                <w:rFonts w:ascii="Times New Roman" w:hAnsi="Times New Roman" w:cs="Times New Roman"/>
                <w:szCs w:val="21"/>
                <w:vertAlign w:val="subscript"/>
              </w:rPr>
              <w:t>MSY</w:t>
            </w:r>
          </w:p>
        </w:tc>
        <w:tc>
          <w:tcPr>
            <w:tcW w:w="1725" w:type="dxa"/>
            <w:tcBorders>
              <w:top w:val="nil"/>
              <w:left w:val="nil"/>
              <w:bottom w:val="nil"/>
              <w:right w:val="nil"/>
            </w:tcBorders>
            <w:tcMar>
              <w:top w:w="-1" w:type="dxa"/>
              <w:left w:w="-1" w:type="dxa"/>
              <w:bottom w:w="-1" w:type="dxa"/>
              <w:right w:w="-1" w:type="dxa"/>
            </w:tcMar>
            <w:vAlign w:val="center"/>
          </w:tcPr>
          <w:p w14:paraId="2F1E362A" w14:textId="77777777" w:rsidR="00EF649D" w:rsidRDefault="00EA0F7C">
            <w:pPr>
              <w:jc w:val="center"/>
              <w:rPr>
                <w:rFonts w:ascii="Times New Roman" w:hAnsi="Times New Roman" w:cs="Times New Roman"/>
              </w:rPr>
            </w:pPr>
            <w:r>
              <w:rPr>
                <w:rFonts w:ascii="Times New Roman" w:hAnsi="Times New Roman" w:cs="Times New Roman"/>
              </w:rPr>
              <w:t>0.739</w:t>
            </w:r>
            <w:r>
              <w:rPr>
                <w:rFonts w:ascii="Times New Roman" w:hAnsi="Times New Roman" w:cs="Times New Roman"/>
              </w:rPr>
              <w:br/>
              <w:t>(0.418-1.082)</w:t>
            </w:r>
          </w:p>
        </w:tc>
        <w:tc>
          <w:tcPr>
            <w:tcW w:w="2208" w:type="dxa"/>
            <w:tcBorders>
              <w:top w:val="nil"/>
              <w:left w:val="nil"/>
              <w:bottom w:val="nil"/>
              <w:right w:val="nil"/>
            </w:tcBorders>
            <w:tcMar>
              <w:top w:w="-1" w:type="dxa"/>
              <w:left w:w="-1" w:type="dxa"/>
              <w:bottom w:w="-1" w:type="dxa"/>
              <w:right w:w="-1" w:type="dxa"/>
            </w:tcMar>
            <w:vAlign w:val="center"/>
          </w:tcPr>
          <w:p w14:paraId="2F1E362B" w14:textId="77777777" w:rsidR="00EF649D" w:rsidRDefault="00EA0F7C">
            <w:pPr>
              <w:jc w:val="center"/>
              <w:rPr>
                <w:rFonts w:ascii="Times New Roman" w:hAnsi="Times New Roman" w:cs="Times New Roman"/>
              </w:rPr>
            </w:pPr>
            <w:r>
              <w:rPr>
                <w:rFonts w:ascii="Times New Roman" w:hAnsi="Times New Roman" w:cs="Times New Roman"/>
              </w:rPr>
              <w:t>0.125</w:t>
            </w:r>
            <w:r>
              <w:rPr>
                <w:rFonts w:ascii="Times New Roman" w:hAnsi="Times New Roman" w:cs="Times New Roman"/>
              </w:rPr>
              <w:br/>
              <w:t>(0.073-0.200)</w:t>
            </w:r>
          </w:p>
        </w:tc>
        <w:tc>
          <w:tcPr>
            <w:tcW w:w="2208" w:type="dxa"/>
            <w:tcBorders>
              <w:top w:val="nil"/>
              <w:left w:val="nil"/>
              <w:bottom w:val="nil"/>
              <w:right w:val="nil"/>
            </w:tcBorders>
            <w:tcMar>
              <w:top w:w="-1" w:type="dxa"/>
              <w:left w:w="-1" w:type="dxa"/>
              <w:bottom w:w="-1" w:type="dxa"/>
              <w:right w:w="-1" w:type="dxa"/>
            </w:tcMar>
            <w:vAlign w:val="center"/>
          </w:tcPr>
          <w:p w14:paraId="2F1E362C" w14:textId="77777777" w:rsidR="00EF649D" w:rsidRDefault="00EA0F7C">
            <w:pPr>
              <w:jc w:val="center"/>
              <w:rPr>
                <w:rFonts w:ascii="Times New Roman" w:hAnsi="Times New Roman" w:cs="Times New Roman"/>
              </w:rPr>
            </w:pPr>
            <w:r>
              <w:rPr>
                <w:rFonts w:ascii="Times New Roman" w:hAnsi="Times New Roman" w:cs="Times New Roman"/>
              </w:rPr>
              <w:t>0.671</w:t>
            </w:r>
            <w:r>
              <w:rPr>
                <w:rFonts w:ascii="Times New Roman" w:hAnsi="Times New Roman" w:cs="Times New Roman"/>
              </w:rPr>
              <w:br/>
              <w:t>(0.348-1.356)</w:t>
            </w:r>
          </w:p>
        </w:tc>
        <w:tc>
          <w:tcPr>
            <w:tcW w:w="1399" w:type="dxa"/>
            <w:tcBorders>
              <w:top w:val="nil"/>
              <w:left w:val="nil"/>
              <w:bottom w:val="nil"/>
              <w:right w:val="nil"/>
            </w:tcBorders>
            <w:tcMar>
              <w:top w:w="-1" w:type="dxa"/>
              <w:left w:w="-1" w:type="dxa"/>
              <w:bottom w:w="-1" w:type="dxa"/>
              <w:right w:w="-1" w:type="dxa"/>
            </w:tcMar>
            <w:vAlign w:val="center"/>
          </w:tcPr>
          <w:p w14:paraId="2F1E362D" w14:textId="77777777" w:rsidR="00EF649D" w:rsidRDefault="00EA0F7C">
            <w:pPr>
              <w:jc w:val="center"/>
              <w:rPr>
                <w:rFonts w:ascii="Times New Roman" w:hAnsi="Times New Roman" w:cs="Times New Roman"/>
              </w:rPr>
            </w:pPr>
            <w:r>
              <w:rPr>
                <w:rFonts w:ascii="Times New Roman" w:hAnsi="Times New Roman" w:cs="Times New Roman"/>
              </w:rPr>
              <w:t>0.088</w:t>
            </w:r>
            <w:r>
              <w:rPr>
                <w:rFonts w:ascii="Times New Roman" w:hAnsi="Times New Roman" w:cs="Times New Roman"/>
              </w:rPr>
              <w:br/>
              <w:t>(0.059-0.119)</w:t>
            </w:r>
          </w:p>
        </w:tc>
      </w:tr>
      <w:tr w:rsidR="00EF649D" w14:paraId="2F1E3634" w14:textId="77777777">
        <w:trPr>
          <w:jc w:val="center"/>
        </w:trPr>
        <w:tc>
          <w:tcPr>
            <w:tcW w:w="545" w:type="pct"/>
            <w:tcBorders>
              <w:top w:val="nil"/>
              <w:left w:val="nil"/>
              <w:bottom w:val="single" w:sz="12" w:space="0" w:color="000000"/>
              <w:right w:val="nil"/>
            </w:tcBorders>
            <w:tcMar>
              <w:top w:w="-1" w:type="dxa"/>
              <w:left w:w="-1" w:type="dxa"/>
              <w:bottom w:w="-1" w:type="dxa"/>
              <w:right w:w="-1" w:type="dxa"/>
            </w:tcMar>
            <w:vAlign w:val="center"/>
          </w:tcPr>
          <w:p w14:paraId="2F1E362F" w14:textId="77777777" w:rsidR="00EF649D" w:rsidRDefault="00EA0F7C">
            <w:pPr>
              <w:snapToGrid w:val="0"/>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szCs w:val="21"/>
                <w:vertAlign w:val="subscript"/>
              </w:rPr>
              <w:t>2025</w:t>
            </w:r>
            <w:r>
              <w:rPr>
                <w:rFonts w:ascii="Times New Roman" w:hAnsi="Times New Roman" w:cs="Times New Roman"/>
                <w:szCs w:val="21"/>
              </w:rPr>
              <w:t>/F</w:t>
            </w:r>
            <w:r>
              <w:rPr>
                <w:rFonts w:ascii="Times New Roman" w:hAnsi="Times New Roman" w:cs="Times New Roman"/>
                <w:szCs w:val="21"/>
                <w:vertAlign w:val="subscript"/>
              </w:rPr>
              <w:t>MSY</w:t>
            </w:r>
          </w:p>
        </w:tc>
        <w:tc>
          <w:tcPr>
            <w:tcW w:w="1725" w:type="dxa"/>
            <w:tcBorders>
              <w:top w:val="nil"/>
              <w:left w:val="nil"/>
              <w:bottom w:val="single" w:sz="12" w:space="0" w:color="000000"/>
              <w:right w:val="nil"/>
            </w:tcBorders>
            <w:tcMar>
              <w:top w:w="-1" w:type="dxa"/>
              <w:left w:w="-1" w:type="dxa"/>
              <w:bottom w:w="-1" w:type="dxa"/>
              <w:right w:w="-1" w:type="dxa"/>
            </w:tcMar>
            <w:vAlign w:val="center"/>
          </w:tcPr>
          <w:p w14:paraId="2F1E3630" w14:textId="77777777" w:rsidR="00EF649D" w:rsidRDefault="00EA0F7C">
            <w:pPr>
              <w:jc w:val="center"/>
              <w:rPr>
                <w:rFonts w:ascii="Times New Roman" w:hAnsi="Times New Roman" w:cs="Times New Roman"/>
              </w:rPr>
            </w:pPr>
            <w:r>
              <w:rPr>
                <w:rFonts w:ascii="Times New Roman" w:hAnsi="Times New Roman" w:cs="Times New Roman"/>
              </w:rPr>
              <w:t>0.008</w:t>
            </w:r>
            <w:r>
              <w:rPr>
                <w:rFonts w:ascii="Times New Roman" w:hAnsi="Times New Roman" w:cs="Times New Roman"/>
              </w:rPr>
              <w:br/>
              <w:t>(0.002-0.025)</w:t>
            </w:r>
          </w:p>
        </w:tc>
        <w:tc>
          <w:tcPr>
            <w:tcW w:w="2208" w:type="dxa"/>
            <w:tcBorders>
              <w:top w:val="nil"/>
              <w:left w:val="nil"/>
              <w:bottom w:val="single" w:sz="12" w:space="0" w:color="000000"/>
              <w:right w:val="nil"/>
            </w:tcBorders>
            <w:tcMar>
              <w:top w:w="-1" w:type="dxa"/>
              <w:left w:w="-1" w:type="dxa"/>
              <w:bottom w:w="-1" w:type="dxa"/>
              <w:right w:w="-1" w:type="dxa"/>
            </w:tcMar>
            <w:vAlign w:val="center"/>
          </w:tcPr>
          <w:p w14:paraId="2F1E3631" w14:textId="77777777" w:rsidR="00EF649D" w:rsidRDefault="00EA0F7C">
            <w:pPr>
              <w:jc w:val="center"/>
              <w:rPr>
                <w:rFonts w:ascii="Times New Roman" w:hAnsi="Times New Roman" w:cs="Times New Roman"/>
              </w:rPr>
            </w:pPr>
            <w:r>
              <w:rPr>
                <w:rFonts w:ascii="Times New Roman" w:hAnsi="Times New Roman" w:cs="Times New Roman"/>
              </w:rPr>
              <w:t>0.076</w:t>
            </w:r>
            <w:r>
              <w:rPr>
                <w:rFonts w:ascii="Times New Roman" w:hAnsi="Times New Roman" w:cs="Times New Roman"/>
              </w:rPr>
              <w:br/>
              <w:t>(0.044-0.130)</w:t>
            </w:r>
          </w:p>
        </w:tc>
        <w:tc>
          <w:tcPr>
            <w:tcW w:w="2208" w:type="dxa"/>
            <w:tcBorders>
              <w:top w:val="nil"/>
              <w:left w:val="nil"/>
              <w:bottom w:val="single" w:sz="12" w:space="0" w:color="000000"/>
              <w:right w:val="nil"/>
            </w:tcBorders>
            <w:tcMar>
              <w:top w:w="-1" w:type="dxa"/>
              <w:left w:w="-1" w:type="dxa"/>
              <w:bottom w:w="-1" w:type="dxa"/>
              <w:right w:w="-1" w:type="dxa"/>
            </w:tcMar>
            <w:vAlign w:val="center"/>
          </w:tcPr>
          <w:p w14:paraId="2F1E3632" w14:textId="77777777" w:rsidR="00EF649D" w:rsidRDefault="00EA0F7C">
            <w:pPr>
              <w:jc w:val="center"/>
              <w:rPr>
                <w:rFonts w:ascii="Times New Roman" w:hAnsi="Times New Roman" w:cs="Times New Roman"/>
              </w:rPr>
            </w:pPr>
            <w:r>
              <w:rPr>
                <w:rFonts w:ascii="Times New Roman" w:hAnsi="Times New Roman" w:cs="Times New Roman"/>
              </w:rPr>
              <w:t>0.014</w:t>
            </w:r>
            <w:r>
              <w:rPr>
                <w:rFonts w:ascii="Times New Roman" w:hAnsi="Times New Roman" w:cs="Times New Roman"/>
              </w:rPr>
              <w:br/>
              <w:t>(0.003-0.029)</w:t>
            </w:r>
          </w:p>
        </w:tc>
        <w:tc>
          <w:tcPr>
            <w:tcW w:w="1399" w:type="dxa"/>
            <w:tcBorders>
              <w:top w:val="nil"/>
              <w:left w:val="nil"/>
              <w:bottom w:val="single" w:sz="12" w:space="0" w:color="000000"/>
              <w:right w:val="nil"/>
            </w:tcBorders>
            <w:tcMar>
              <w:top w:w="-1" w:type="dxa"/>
              <w:left w:w="-1" w:type="dxa"/>
              <w:bottom w:w="-1" w:type="dxa"/>
              <w:right w:w="-1" w:type="dxa"/>
            </w:tcMar>
            <w:vAlign w:val="center"/>
          </w:tcPr>
          <w:p w14:paraId="2F1E3633" w14:textId="77777777" w:rsidR="00EF649D" w:rsidRDefault="00EA0F7C">
            <w:pPr>
              <w:jc w:val="center"/>
              <w:rPr>
                <w:rFonts w:ascii="Times New Roman" w:hAnsi="Times New Roman" w:cs="Times New Roman"/>
              </w:rPr>
            </w:pPr>
            <w:r>
              <w:rPr>
                <w:rFonts w:ascii="Times New Roman" w:hAnsi="Times New Roman" w:cs="Times New Roman"/>
              </w:rPr>
              <w:t>0.110</w:t>
            </w:r>
            <w:r>
              <w:rPr>
                <w:rFonts w:ascii="Times New Roman" w:hAnsi="Times New Roman" w:cs="Times New Roman"/>
              </w:rPr>
              <w:br/>
              <w:t>(0.073-0.164)</w:t>
            </w:r>
          </w:p>
        </w:tc>
      </w:tr>
    </w:tbl>
    <w:p w14:paraId="2F1E3635" w14:textId="77777777" w:rsidR="00EF649D" w:rsidRDefault="00EF649D">
      <w:pPr>
        <w:rPr>
          <w:rFonts w:ascii="Times New Roman" w:hAnsi="Times New Roman" w:cs="Times New Roman"/>
        </w:rPr>
      </w:pPr>
    </w:p>
    <w:p w14:paraId="2F1E3636" w14:textId="77777777" w:rsidR="00EF649D" w:rsidRDefault="00EF649D">
      <w:pPr>
        <w:rPr>
          <w:rFonts w:ascii="Times New Roman" w:hAnsi="Times New Roman" w:cs="Times New Roman"/>
        </w:rPr>
      </w:pPr>
    </w:p>
    <w:p w14:paraId="2F1E3637" w14:textId="77777777" w:rsidR="00EF649D" w:rsidRDefault="00EF649D">
      <w:pPr>
        <w:rPr>
          <w:rFonts w:ascii="Times New Roman" w:hAnsi="Times New Roman" w:cs="Times New Roman"/>
        </w:rPr>
      </w:pPr>
    </w:p>
    <w:p w14:paraId="2F1E3638" w14:textId="77777777" w:rsidR="00EF649D" w:rsidRDefault="00EF649D">
      <w:pPr>
        <w:rPr>
          <w:rFonts w:ascii="Times New Roman" w:hAnsi="Times New Roman" w:cs="Times New Roman"/>
        </w:rPr>
      </w:pPr>
    </w:p>
    <w:p w14:paraId="2F1E3639" w14:textId="77777777" w:rsidR="00EF649D" w:rsidRDefault="00EF649D">
      <w:pPr>
        <w:rPr>
          <w:rFonts w:ascii="Times New Roman" w:hAnsi="Times New Roman" w:cs="Times New Roman"/>
        </w:rPr>
      </w:pPr>
    </w:p>
    <w:p w14:paraId="2F1E363A" w14:textId="77777777" w:rsidR="00EF649D" w:rsidRDefault="00EF649D">
      <w:pPr>
        <w:rPr>
          <w:rFonts w:ascii="Times New Roman" w:hAnsi="Times New Roman" w:cs="Times New Roman"/>
        </w:rPr>
      </w:pPr>
    </w:p>
    <w:p w14:paraId="2F1E363B" w14:textId="77777777" w:rsidR="00EF649D" w:rsidRDefault="00EF649D">
      <w:pPr>
        <w:rPr>
          <w:rFonts w:ascii="Times New Roman" w:hAnsi="Times New Roman" w:cs="Times New Roman"/>
        </w:rPr>
      </w:pPr>
    </w:p>
    <w:p w14:paraId="2F1E363C" w14:textId="77777777" w:rsidR="00EF649D" w:rsidRDefault="00EF649D">
      <w:pPr>
        <w:rPr>
          <w:rFonts w:ascii="Times New Roman" w:hAnsi="Times New Roman" w:cs="Times New Roman"/>
        </w:rPr>
      </w:pPr>
    </w:p>
    <w:p w14:paraId="2F1E363D" w14:textId="77777777" w:rsidR="00EF649D" w:rsidRDefault="00EF649D">
      <w:pPr>
        <w:rPr>
          <w:rFonts w:ascii="Times New Roman" w:hAnsi="Times New Roman" w:cs="Times New Roman"/>
        </w:rPr>
      </w:pPr>
    </w:p>
    <w:p w14:paraId="2F1E363E" w14:textId="77777777" w:rsidR="00EF649D" w:rsidRDefault="00EF649D">
      <w:pPr>
        <w:rPr>
          <w:rFonts w:ascii="Times New Roman" w:hAnsi="Times New Roman" w:cs="Times New Roman"/>
        </w:rPr>
      </w:pPr>
    </w:p>
    <w:p w14:paraId="2F1E363F" w14:textId="77777777" w:rsidR="00EF649D" w:rsidRDefault="00EF649D">
      <w:pPr>
        <w:rPr>
          <w:rFonts w:ascii="Times New Roman" w:hAnsi="Times New Roman" w:cs="Times New Roman"/>
        </w:rPr>
      </w:pPr>
    </w:p>
    <w:p w14:paraId="2F1E3640" w14:textId="77777777" w:rsidR="00EF649D" w:rsidRDefault="00EF649D">
      <w:pPr>
        <w:rPr>
          <w:rFonts w:ascii="Times New Roman" w:hAnsi="Times New Roman" w:cs="Times New Roman"/>
        </w:rPr>
      </w:pPr>
    </w:p>
    <w:p w14:paraId="2F1E3641" w14:textId="77777777" w:rsidR="00EF649D" w:rsidRDefault="00EF649D">
      <w:pPr>
        <w:rPr>
          <w:rFonts w:ascii="Times New Roman" w:hAnsi="Times New Roman" w:cs="Times New Roman"/>
        </w:rPr>
      </w:pPr>
    </w:p>
    <w:p w14:paraId="2F1E3642" w14:textId="77777777" w:rsidR="00EF649D" w:rsidRDefault="00EF649D">
      <w:pPr>
        <w:rPr>
          <w:rFonts w:ascii="Times New Roman" w:hAnsi="Times New Roman" w:cs="Times New Roman"/>
        </w:rPr>
      </w:pPr>
    </w:p>
    <w:p w14:paraId="2F1E3643" w14:textId="77777777" w:rsidR="00EF649D" w:rsidRDefault="00EF649D">
      <w:pPr>
        <w:rPr>
          <w:rFonts w:ascii="Times New Roman" w:hAnsi="Times New Roman" w:cs="Times New Roman"/>
        </w:rPr>
      </w:pPr>
    </w:p>
    <w:p w14:paraId="2F1E3644" w14:textId="77777777" w:rsidR="00EF649D" w:rsidRDefault="00EA0F7C">
      <w:pPr>
        <w:rPr>
          <w:rFonts w:ascii="Times New Roman" w:hAnsi="Times New Roman" w:cs="Times New Roman"/>
        </w:rPr>
      </w:pPr>
      <w:r>
        <w:rPr>
          <w:rFonts w:ascii="Times New Roman" w:hAnsi="Times New Roman" w:cs="Times New Roman"/>
          <w:b/>
          <w:bCs/>
        </w:rPr>
        <w:lastRenderedPageBreak/>
        <w:t xml:space="preserve">Table </w:t>
      </w:r>
      <w:r>
        <w:rPr>
          <w:rFonts w:ascii="Times New Roman" w:hAnsi="Times New Roman" w:cs="Times New Roman" w:hint="eastAsia"/>
          <w:b/>
          <w:bCs/>
        </w:rPr>
        <w:t>3</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t>
      </w:r>
      <w:r>
        <w:rPr>
          <w:rFonts w:ascii="Times New Roman" w:eastAsia="SimSun" w:hAnsi="Times New Roman" w:cs="Times New Roman" w:hint="eastAsia"/>
          <w:color w:val="0F1115"/>
          <w:szCs w:val="21"/>
          <w:shd w:val="clear" w:color="auto" w:fill="FFFFFF"/>
        </w:rPr>
        <w:t>autumn</w:t>
      </w:r>
      <w:r>
        <w:rPr>
          <w:rFonts w:ascii="Times New Roman" w:eastAsia="Segoe UI" w:hAnsi="Times New Roman" w:cs="Times New Roman"/>
          <w:color w:val="0F1115"/>
          <w:szCs w:val="21"/>
          <w:shd w:val="clear" w:color="auto" w:fill="FFFFFF"/>
        </w:rPr>
        <w:t xml:space="preserve"> cohort of </w:t>
      </w:r>
      <w:r>
        <w:rPr>
          <w:rFonts w:ascii="Times New Roman" w:eastAsia="SimSun" w:hAnsi="Times New Roman" w:cs="Times New Roman" w:hint="eastAsia"/>
          <w:color w:val="0F1115"/>
          <w:szCs w:val="21"/>
          <w:shd w:val="clear" w:color="auto" w:fill="FFFFFF"/>
        </w:rPr>
        <w:t>NFS</w:t>
      </w:r>
    </w:p>
    <w:tbl>
      <w:tblPr>
        <w:tblW w:w="5014" w:type="pct"/>
        <w:jc w:val="center"/>
        <w:tblLayout w:type="fixed"/>
        <w:tblCellMar>
          <w:left w:w="0" w:type="dxa"/>
          <w:right w:w="0" w:type="dxa"/>
        </w:tblCellMar>
        <w:tblLook w:val="04A0" w:firstRow="1" w:lastRow="0" w:firstColumn="1" w:lastColumn="0" w:noHBand="0" w:noVBand="1"/>
      </w:tblPr>
      <w:tblGrid>
        <w:gridCol w:w="968"/>
        <w:gridCol w:w="1756"/>
        <w:gridCol w:w="1807"/>
        <w:gridCol w:w="1902"/>
        <w:gridCol w:w="1896"/>
      </w:tblGrid>
      <w:tr w:rsidR="00EF649D" w14:paraId="2F1E364A" w14:textId="77777777">
        <w:trPr>
          <w:tblHeader/>
          <w:jc w:val="center"/>
        </w:trPr>
        <w:tc>
          <w:tcPr>
            <w:tcW w:w="582" w:type="pct"/>
            <w:tcBorders>
              <w:top w:val="single" w:sz="12" w:space="0" w:color="auto"/>
              <w:left w:val="nil"/>
              <w:bottom w:val="single" w:sz="4" w:space="0" w:color="auto"/>
              <w:right w:val="nil"/>
            </w:tcBorders>
            <w:tcMar>
              <w:top w:w="-1" w:type="dxa"/>
              <w:left w:w="-1" w:type="dxa"/>
              <w:bottom w:w="-1" w:type="dxa"/>
              <w:right w:w="-1" w:type="dxa"/>
            </w:tcMar>
            <w:vAlign w:val="center"/>
          </w:tcPr>
          <w:p w14:paraId="2F1E3645" w14:textId="77777777" w:rsidR="00EF649D" w:rsidRDefault="00EA0F7C">
            <w:pPr>
              <w:jc w:val="center"/>
              <w:rPr>
                <w:rFonts w:ascii="Times New Roman" w:hAnsi="Times New Roman" w:cs="Times New Roman"/>
                <w:szCs w:val="21"/>
              </w:rPr>
            </w:pPr>
            <w:r>
              <w:rPr>
                <w:rFonts w:ascii="Times New Roman" w:hAnsi="Times New Roman" w:cs="Times New Roman"/>
                <w:szCs w:val="21"/>
              </w:rPr>
              <w:t>Parameter</w:t>
            </w:r>
          </w:p>
        </w:tc>
        <w:tc>
          <w:tcPr>
            <w:tcW w:w="1053" w:type="pct"/>
            <w:tcBorders>
              <w:top w:val="single" w:sz="12" w:space="0" w:color="auto"/>
              <w:left w:val="nil"/>
              <w:bottom w:val="single" w:sz="4" w:space="0" w:color="auto"/>
              <w:right w:val="nil"/>
            </w:tcBorders>
            <w:tcMar>
              <w:top w:w="-1" w:type="dxa"/>
              <w:left w:w="-1" w:type="dxa"/>
              <w:bottom w:w="-1" w:type="dxa"/>
              <w:right w:w="-1" w:type="dxa"/>
            </w:tcMar>
            <w:vAlign w:val="center"/>
          </w:tcPr>
          <w:p w14:paraId="2F1E3646" w14:textId="77777777" w:rsidR="00EF649D" w:rsidRDefault="00EA0F7C">
            <w:pPr>
              <w:jc w:val="center"/>
              <w:rPr>
                <w:rFonts w:ascii="Times New Roman" w:hAnsi="Times New Roman" w:cs="Times New Roman"/>
                <w:szCs w:val="21"/>
              </w:rPr>
            </w:pPr>
            <w:r>
              <w:rPr>
                <w:rFonts w:ascii="Times New Roman" w:hAnsi="Times New Roman" w:cs="Times New Roman"/>
                <w:szCs w:val="21"/>
              </w:rPr>
              <w:t>Nominal CPUE</w:t>
            </w:r>
          </w:p>
        </w:tc>
        <w:tc>
          <w:tcPr>
            <w:tcW w:w="1084" w:type="pct"/>
            <w:tcBorders>
              <w:top w:val="single" w:sz="12" w:space="0" w:color="auto"/>
              <w:left w:val="nil"/>
              <w:bottom w:val="single" w:sz="4" w:space="0" w:color="auto"/>
              <w:right w:val="nil"/>
            </w:tcBorders>
            <w:tcMar>
              <w:top w:w="-1" w:type="dxa"/>
              <w:left w:w="-1" w:type="dxa"/>
              <w:bottom w:w="-1" w:type="dxa"/>
              <w:right w:w="-1" w:type="dxa"/>
            </w:tcMar>
            <w:vAlign w:val="center"/>
          </w:tcPr>
          <w:p w14:paraId="2F1E3647" w14:textId="77777777" w:rsidR="00EF649D" w:rsidRDefault="00EA0F7C">
            <w:pPr>
              <w:jc w:val="center"/>
              <w:rPr>
                <w:rFonts w:ascii="Times New Roman" w:hAnsi="Times New Roman" w:cs="Times New Roman"/>
                <w:szCs w:val="21"/>
              </w:rPr>
            </w:pPr>
            <w:r>
              <w:rPr>
                <w:rFonts w:ascii="Times New Roman" w:hAnsi="Times New Roman" w:cs="Times New Roman"/>
                <w:szCs w:val="21"/>
              </w:rPr>
              <w:t>GAM-standardized CPUE</w:t>
            </w:r>
          </w:p>
        </w:tc>
        <w:tc>
          <w:tcPr>
            <w:tcW w:w="1141" w:type="pct"/>
            <w:tcBorders>
              <w:top w:val="single" w:sz="12" w:space="0" w:color="auto"/>
              <w:left w:val="nil"/>
              <w:bottom w:val="single" w:sz="4" w:space="0" w:color="auto"/>
              <w:right w:val="nil"/>
            </w:tcBorders>
            <w:tcMar>
              <w:top w:w="-1" w:type="dxa"/>
              <w:left w:w="-1" w:type="dxa"/>
              <w:bottom w:w="-1" w:type="dxa"/>
              <w:right w:w="-1" w:type="dxa"/>
            </w:tcMar>
            <w:vAlign w:val="center"/>
          </w:tcPr>
          <w:p w14:paraId="2F1E3648" w14:textId="77777777" w:rsidR="00EF649D" w:rsidRDefault="00EA0F7C">
            <w:pPr>
              <w:jc w:val="center"/>
              <w:rPr>
                <w:rFonts w:ascii="Times New Roman" w:hAnsi="Times New Roman" w:cs="Times New Roman"/>
                <w:szCs w:val="21"/>
              </w:rPr>
            </w:pPr>
            <w:r>
              <w:rPr>
                <w:rFonts w:ascii="Times New Roman" w:hAnsi="Times New Roman" w:cs="Times New Roman"/>
                <w:szCs w:val="21"/>
              </w:rPr>
              <w:t>RF-standardized CPUE</w:t>
            </w:r>
          </w:p>
        </w:tc>
        <w:tc>
          <w:tcPr>
            <w:tcW w:w="1137" w:type="pct"/>
            <w:tcBorders>
              <w:top w:val="single" w:sz="12" w:space="0" w:color="auto"/>
              <w:left w:val="nil"/>
              <w:bottom w:val="single" w:sz="4" w:space="0" w:color="auto"/>
              <w:right w:val="nil"/>
            </w:tcBorders>
            <w:tcMar>
              <w:top w:w="-1" w:type="dxa"/>
              <w:left w:w="-1" w:type="dxa"/>
              <w:bottom w:w="-1" w:type="dxa"/>
              <w:right w:w="-1" w:type="dxa"/>
            </w:tcMar>
            <w:vAlign w:val="center"/>
          </w:tcPr>
          <w:p w14:paraId="2F1E3649" w14:textId="77777777" w:rsidR="00EF649D" w:rsidRDefault="00EA0F7C">
            <w:pPr>
              <w:jc w:val="center"/>
              <w:rPr>
                <w:rFonts w:ascii="Times New Roman" w:hAnsi="Times New Roman" w:cs="Times New Roman"/>
                <w:szCs w:val="21"/>
              </w:rPr>
            </w:pPr>
            <w:r>
              <w:rPr>
                <w:rFonts w:ascii="Times New Roman" w:hAnsi="Times New Roman" w:cs="Times New Roman"/>
                <w:szCs w:val="21"/>
              </w:rPr>
              <w:t>GBM-standardized CPUE</w:t>
            </w:r>
          </w:p>
        </w:tc>
      </w:tr>
      <w:tr w:rsidR="00EF649D" w14:paraId="2F1E3650" w14:textId="77777777">
        <w:trPr>
          <w:jc w:val="center"/>
        </w:trPr>
        <w:tc>
          <w:tcPr>
            <w:tcW w:w="582" w:type="pct"/>
            <w:tcBorders>
              <w:top w:val="single" w:sz="4" w:space="0" w:color="auto"/>
              <w:left w:val="nil"/>
              <w:bottom w:val="nil"/>
              <w:right w:val="nil"/>
            </w:tcBorders>
            <w:tcMar>
              <w:top w:w="-1" w:type="dxa"/>
              <w:left w:w="-1" w:type="dxa"/>
              <w:bottom w:w="-1" w:type="dxa"/>
              <w:right w:w="-1" w:type="dxa"/>
            </w:tcMar>
            <w:vAlign w:val="center"/>
          </w:tcPr>
          <w:p w14:paraId="2F1E364B" w14:textId="77777777" w:rsidR="00EF649D" w:rsidRDefault="00EA0F7C">
            <w:pPr>
              <w:jc w:val="center"/>
              <w:rPr>
                <w:rFonts w:ascii="Times New Roman" w:hAnsi="Times New Roman" w:cs="Times New Roman"/>
                <w:szCs w:val="21"/>
              </w:rPr>
            </w:pPr>
            <w:r>
              <w:rPr>
                <w:rFonts w:ascii="Times New Roman" w:hAnsi="Times New Roman" w:cs="Times New Roman"/>
                <w:szCs w:val="21"/>
              </w:rPr>
              <w:t>MSY</w:t>
            </w:r>
          </w:p>
        </w:tc>
        <w:tc>
          <w:tcPr>
            <w:tcW w:w="1757" w:type="dxa"/>
            <w:tcBorders>
              <w:top w:val="single" w:sz="4" w:space="0" w:color="auto"/>
              <w:left w:val="nil"/>
              <w:bottom w:val="nil"/>
              <w:right w:val="nil"/>
            </w:tcBorders>
            <w:tcMar>
              <w:top w:w="-1" w:type="dxa"/>
              <w:left w:w="-1" w:type="dxa"/>
              <w:bottom w:w="-1" w:type="dxa"/>
              <w:right w:w="-1" w:type="dxa"/>
            </w:tcMar>
            <w:vAlign w:val="center"/>
          </w:tcPr>
          <w:p w14:paraId="2F1E364C" w14:textId="77777777" w:rsidR="00EF649D" w:rsidRDefault="00EA0F7C">
            <w:pPr>
              <w:jc w:val="center"/>
              <w:rPr>
                <w:rFonts w:ascii="Times New Roman" w:hAnsi="Times New Roman" w:cs="Times New Roman"/>
              </w:rPr>
            </w:pPr>
            <w:r>
              <w:rPr>
                <w:rFonts w:ascii="Times New Roman" w:hAnsi="Times New Roman" w:cs="Times New Roman"/>
              </w:rPr>
              <w:t>15270.472</w:t>
            </w:r>
            <w:r>
              <w:rPr>
                <w:rFonts w:ascii="Times New Roman" w:hAnsi="Times New Roman" w:cs="Times New Roman"/>
              </w:rPr>
              <w:br/>
              <w:t>(8071.743-38109.817)</w:t>
            </w:r>
          </w:p>
        </w:tc>
        <w:tc>
          <w:tcPr>
            <w:tcW w:w="1808" w:type="dxa"/>
            <w:tcBorders>
              <w:top w:val="single" w:sz="4" w:space="0" w:color="auto"/>
              <w:left w:val="nil"/>
              <w:bottom w:val="nil"/>
              <w:right w:val="nil"/>
            </w:tcBorders>
            <w:tcMar>
              <w:top w:w="-1" w:type="dxa"/>
              <w:left w:w="-1" w:type="dxa"/>
              <w:bottom w:w="-1" w:type="dxa"/>
              <w:right w:w="-1" w:type="dxa"/>
            </w:tcMar>
            <w:vAlign w:val="center"/>
          </w:tcPr>
          <w:p w14:paraId="2F1E364D" w14:textId="77777777" w:rsidR="00EF649D" w:rsidRDefault="00EA0F7C">
            <w:pPr>
              <w:jc w:val="center"/>
              <w:rPr>
                <w:rFonts w:ascii="Times New Roman" w:hAnsi="Times New Roman" w:cs="Times New Roman"/>
              </w:rPr>
            </w:pPr>
            <w:r>
              <w:rPr>
                <w:rFonts w:ascii="Times New Roman" w:hAnsi="Times New Roman" w:cs="Times New Roman"/>
              </w:rPr>
              <w:t>12912.741</w:t>
            </w:r>
            <w:r>
              <w:rPr>
                <w:rFonts w:ascii="Times New Roman" w:hAnsi="Times New Roman" w:cs="Times New Roman"/>
              </w:rPr>
              <w:br/>
              <w:t>(7139.283-31697.098)</w:t>
            </w:r>
          </w:p>
        </w:tc>
        <w:tc>
          <w:tcPr>
            <w:tcW w:w="1904" w:type="dxa"/>
            <w:tcBorders>
              <w:top w:val="single" w:sz="4" w:space="0" w:color="auto"/>
              <w:left w:val="nil"/>
              <w:bottom w:val="nil"/>
              <w:right w:val="nil"/>
            </w:tcBorders>
            <w:tcMar>
              <w:top w:w="-1" w:type="dxa"/>
              <w:left w:w="-1" w:type="dxa"/>
              <w:bottom w:w="-1" w:type="dxa"/>
              <w:right w:w="-1" w:type="dxa"/>
            </w:tcMar>
            <w:vAlign w:val="center"/>
          </w:tcPr>
          <w:p w14:paraId="2F1E364E" w14:textId="77777777" w:rsidR="00EF649D" w:rsidRDefault="00EA0F7C">
            <w:pPr>
              <w:jc w:val="center"/>
              <w:rPr>
                <w:rFonts w:ascii="Times New Roman" w:hAnsi="Times New Roman" w:cs="Times New Roman"/>
              </w:rPr>
            </w:pPr>
            <w:r>
              <w:rPr>
                <w:rFonts w:ascii="Times New Roman" w:hAnsi="Times New Roman" w:cs="Times New Roman"/>
              </w:rPr>
              <w:t>17194.504</w:t>
            </w:r>
            <w:r>
              <w:rPr>
                <w:rFonts w:ascii="Times New Roman" w:hAnsi="Times New Roman" w:cs="Times New Roman"/>
              </w:rPr>
              <w:br/>
              <w:t>(8333.447-41265.610)</w:t>
            </w:r>
          </w:p>
        </w:tc>
        <w:tc>
          <w:tcPr>
            <w:tcW w:w="1898" w:type="dxa"/>
            <w:tcBorders>
              <w:top w:val="single" w:sz="4" w:space="0" w:color="auto"/>
              <w:left w:val="nil"/>
              <w:bottom w:val="nil"/>
              <w:right w:val="nil"/>
            </w:tcBorders>
            <w:tcMar>
              <w:top w:w="-1" w:type="dxa"/>
              <w:left w:w="-1" w:type="dxa"/>
              <w:bottom w:w="-1" w:type="dxa"/>
              <w:right w:w="-1" w:type="dxa"/>
            </w:tcMar>
            <w:vAlign w:val="center"/>
          </w:tcPr>
          <w:p w14:paraId="2F1E364F" w14:textId="77777777" w:rsidR="00EF649D" w:rsidRDefault="00EA0F7C">
            <w:pPr>
              <w:jc w:val="center"/>
              <w:rPr>
                <w:rFonts w:ascii="Times New Roman" w:hAnsi="Times New Roman" w:cs="Times New Roman"/>
              </w:rPr>
            </w:pPr>
            <w:r>
              <w:rPr>
                <w:rFonts w:ascii="Times New Roman" w:hAnsi="Times New Roman" w:cs="Times New Roman"/>
              </w:rPr>
              <w:t>19263.707</w:t>
            </w:r>
            <w:r>
              <w:rPr>
                <w:rFonts w:ascii="Times New Roman" w:hAnsi="Times New Roman" w:cs="Times New Roman"/>
              </w:rPr>
              <w:br/>
              <w:t>(9637.224-48315.271)</w:t>
            </w:r>
          </w:p>
        </w:tc>
      </w:tr>
      <w:tr w:rsidR="00EF649D" w14:paraId="2F1E3656" w14:textId="77777777">
        <w:trPr>
          <w:jc w:val="center"/>
        </w:trPr>
        <w:tc>
          <w:tcPr>
            <w:tcW w:w="582" w:type="pct"/>
            <w:tcBorders>
              <w:top w:val="nil"/>
              <w:left w:val="nil"/>
              <w:bottom w:val="nil"/>
              <w:right w:val="nil"/>
            </w:tcBorders>
            <w:tcMar>
              <w:top w:w="-1" w:type="dxa"/>
              <w:left w:w="-1" w:type="dxa"/>
              <w:bottom w:w="-1" w:type="dxa"/>
              <w:right w:w="-1" w:type="dxa"/>
            </w:tcMar>
            <w:vAlign w:val="center"/>
          </w:tcPr>
          <w:p w14:paraId="2F1E3651" w14:textId="77777777" w:rsidR="00EF649D" w:rsidRDefault="00EA0F7C">
            <w:pPr>
              <w:jc w:val="cente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vertAlign w:val="subscript"/>
              </w:rPr>
              <w:t>MSY</w:t>
            </w:r>
          </w:p>
        </w:tc>
        <w:tc>
          <w:tcPr>
            <w:tcW w:w="1757" w:type="dxa"/>
            <w:tcBorders>
              <w:top w:val="nil"/>
              <w:left w:val="nil"/>
              <w:bottom w:val="nil"/>
              <w:right w:val="nil"/>
            </w:tcBorders>
            <w:tcMar>
              <w:top w:w="-1" w:type="dxa"/>
              <w:left w:w="-1" w:type="dxa"/>
              <w:bottom w:w="-1" w:type="dxa"/>
              <w:right w:w="-1" w:type="dxa"/>
            </w:tcMar>
            <w:vAlign w:val="center"/>
          </w:tcPr>
          <w:p w14:paraId="2F1E3652" w14:textId="77777777" w:rsidR="00EF649D" w:rsidRDefault="00EA0F7C">
            <w:pPr>
              <w:jc w:val="center"/>
              <w:rPr>
                <w:rFonts w:ascii="Times New Roman" w:hAnsi="Times New Roman" w:cs="Times New Roman"/>
              </w:rPr>
            </w:pPr>
            <w:r>
              <w:rPr>
                <w:rFonts w:ascii="Times New Roman" w:hAnsi="Times New Roman" w:cs="Times New Roman"/>
              </w:rPr>
              <w:t>36810.695</w:t>
            </w:r>
            <w:r>
              <w:rPr>
                <w:rFonts w:ascii="Times New Roman" w:hAnsi="Times New Roman" w:cs="Times New Roman"/>
              </w:rPr>
              <w:br/>
              <w:t>(19875.487-81938.665)</w:t>
            </w:r>
          </w:p>
        </w:tc>
        <w:tc>
          <w:tcPr>
            <w:tcW w:w="1808" w:type="dxa"/>
            <w:tcBorders>
              <w:top w:val="nil"/>
              <w:left w:val="nil"/>
              <w:bottom w:val="nil"/>
              <w:right w:val="nil"/>
            </w:tcBorders>
            <w:tcMar>
              <w:top w:w="-1" w:type="dxa"/>
              <w:left w:w="-1" w:type="dxa"/>
              <w:bottom w:w="-1" w:type="dxa"/>
              <w:right w:w="-1" w:type="dxa"/>
            </w:tcMar>
            <w:vAlign w:val="center"/>
          </w:tcPr>
          <w:p w14:paraId="2F1E3653" w14:textId="77777777" w:rsidR="00EF649D" w:rsidRDefault="00EA0F7C">
            <w:pPr>
              <w:jc w:val="center"/>
              <w:rPr>
                <w:rFonts w:ascii="Times New Roman" w:hAnsi="Times New Roman" w:cs="Times New Roman"/>
              </w:rPr>
            </w:pPr>
            <w:r>
              <w:rPr>
                <w:rFonts w:ascii="Times New Roman" w:hAnsi="Times New Roman" w:cs="Times New Roman"/>
              </w:rPr>
              <w:t>35567.623</w:t>
            </w:r>
            <w:r>
              <w:rPr>
                <w:rFonts w:ascii="Times New Roman" w:hAnsi="Times New Roman" w:cs="Times New Roman"/>
              </w:rPr>
              <w:br/>
              <w:t>(19565.410-85141.265)</w:t>
            </w:r>
          </w:p>
        </w:tc>
        <w:tc>
          <w:tcPr>
            <w:tcW w:w="1904" w:type="dxa"/>
            <w:tcBorders>
              <w:top w:val="nil"/>
              <w:left w:val="nil"/>
              <w:bottom w:val="nil"/>
              <w:right w:val="nil"/>
            </w:tcBorders>
            <w:tcMar>
              <w:top w:w="-1" w:type="dxa"/>
              <w:left w:w="-1" w:type="dxa"/>
              <w:bottom w:w="-1" w:type="dxa"/>
              <w:right w:w="-1" w:type="dxa"/>
            </w:tcMar>
            <w:vAlign w:val="center"/>
          </w:tcPr>
          <w:p w14:paraId="2F1E3654" w14:textId="77777777" w:rsidR="00EF649D" w:rsidRDefault="00EA0F7C">
            <w:pPr>
              <w:jc w:val="center"/>
              <w:rPr>
                <w:rFonts w:ascii="Times New Roman" w:hAnsi="Times New Roman" w:cs="Times New Roman"/>
              </w:rPr>
            </w:pPr>
            <w:r>
              <w:rPr>
                <w:rFonts w:ascii="Times New Roman" w:hAnsi="Times New Roman" w:cs="Times New Roman"/>
              </w:rPr>
              <w:t>44085.408</w:t>
            </w:r>
            <w:r>
              <w:rPr>
                <w:rFonts w:ascii="Times New Roman" w:hAnsi="Times New Roman" w:cs="Times New Roman"/>
              </w:rPr>
              <w:br/>
              <w:t>(22082.912-95065.647)</w:t>
            </w:r>
          </w:p>
        </w:tc>
        <w:tc>
          <w:tcPr>
            <w:tcW w:w="1898" w:type="dxa"/>
            <w:tcBorders>
              <w:top w:val="nil"/>
              <w:left w:val="nil"/>
              <w:bottom w:val="nil"/>
              <w:right w:val="nil"/>
            </w:tcBorders>
            <w:tcMar>
              <w:top w:w="-1" w:type="dxa"/>
              <w:left w:w="-1" w:type="dxa"/>
              <w:bottom w:w="-1" w:type="dxa"/>
              <w:right w:w="-1" w:type="dxa"/>
            </w:tcMar>
            <w:vAlign w:val="center"/>
          </w:tcPr>
          <w:p w14:paraId="2F1E3655" w14:textId="77777777" w:rsidR="00EF649D" w:rsidRDefault="00EA0F7C">
            <w:pPr>
              <w:jc w:val="center"/>
              <w:rPr>
                <w:rFonts w:ascii="Times New Roman" w:hAnsi="Times New Roman" w:cs="Times New Roman"/>
              </w:rPr>
            </w:pPr>
            <w:r>
              <w:rPr>
                <w:rFonts w:ascii="Times New Roman" w:hAnsi="Times New Roman" w:cs="Times New Roman"/>
              </w:rPr>
              <w:t>49139.063</w:t>
            </w:r>
            <w:r>
              <w:rPr>
                <w:rFonts w:ascii="Times New Roman" w:hAnsi="Times New Roman" w:cs="Times New Roman"/>
              </w:rPr>
              <w:br/>
              <w:t>(24339.083-120488.851)</w:t>
            </w:r>
          </w:p>
        </w:tc>
      </w:tr>
      <w:tr w:rsidR="00EF649D" w14:paraId="2F1E365C" w14:textId="77777777">
        <w:trPr>
          <w:jc w:val="center"/>
        </w:trPr>
        <w:tc>
          <w:tcPr>
            <w:tcW w:w="582" w:type="pct"/>
            <w:tcBorders>
              <w:top w:val="nil"/>
              <w:left w:val="nil"/>
              <w:bottom w:val="nil"/>
              <w:right w:val="nil"/>
            </w:tcBorders>
            <w:tcMar>
              <w:top w:w="-1" w:type="dxa"/>
              <w:left w:w="-1" w:type="dxa"/>
              <w:bottom w:w="-1" w:type="dxa"/>
              <w:right w:w="-1" w:type="dxa"/>
            </w:tcMar>
            <w:vAlign w:val="center"/>
          </w:tcPr>
          <w:p w14:paraId="2F1E3657" w14:textId="77777777" w:rsidR="00EF649D" w:rsidRDefault="00EA0F7C">
            <w:pPr>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szCs w:val="21"/>
                <w:vertAlign w:val="subscript"/>
              </w:rPr>
              <w:t>MSY</w:t>
            </w:r>
          </w:p>
        </w:tc>
        <w:tc>
          <w:tcPr>
            <w:tcW w:w="1757" w:type="dxa"/>
            <w:tcBorders>
              <w:top w:val="nil"/>
              <w:left w:val="nil"/>
              <w:bottom w:val="nil"/>
              <w:right w:val="nil"/>
            </w:tcBorders>
            <w:tcMar>
              <w:top w:w="-1" w:type="dxa"/>
              <w:left w:w="-1" w:type="dxa"/>
              <w:bottom w:w="-1" w:type="dxa"/>
              <w:right w:w="-1" w:type="dxa"/>
            </w:tcMar>
            <w:vAlign w:val="center"/>
          </w:tcPr>
          <w:p w14:paraId="2F1E3658" w14:textId="77777777" w:rsidR="00EF649D" w:rsidRDefault="00EA0F7C">
            <w:pPr>
              <w:jc w:val="center"/>
              <w:rPr>
                <w:rFonts w:ascii="Times New Roman" w:hAnsi="Times New Roman" w:cs="Times New Roman"/>
              </w:rPr>
            </w:pPr>
            <w:r>
              <w:rPr>
                <w:rFonts w:ascii="Times New Roman" w:hAnsi="Times New Roman" w:cs="Times New Roman"/>
              </w:rPr>
              <w:t>0.415</w:t>
            </w:r>
            <w:r>
              <w:rPr>
                <w:rFonts w:ascii="Times New Roman" w:hAnsi="Times New Roman" w:cs="Times New Roman"/>
              </w:rPr>
              <w:br/>
              <w:t>(0.275-0.701)</w:t>
            </w:r>
          </w:p>
        </w:tc>
        <w:tc>
          <w:tcPr>
            <w:tcW w:w="1808" w:type="dxa"/>
            <w:tcBorders>
              <w:top w:val="nil"/>
              <w:left w:val="nil"/>
              <w:bottom w:val="nil"/>
              <w:right w:val="nil"/>
            </w:tcBorders>
            <w:tcMar>
              <w:top w:w="-1" w:type="dxa"/>
              <w:left w:w="-1" w:type="dxa"/>
              <w:bottom w:w="-1" w:type="dxa"/>
              <w:right w:w="-1" w:type="dxa"/>
            </w:tcMar>
            <w:vAlign w:val="center"/>
          </w:tcPr>
          <w:p w14:paraId="2F1E3659" w14:textId="77777777" w:rsidR="00EF649D" w:rsidRDefault="00EA0F7C">
            <w:pPr>
              <w:jc w:val="center"/>
              <w:rPr>
                <w:rFonts w:ascii="Times New Roman" w:hAnsi="Times New Roman" w:cs="Times New Roman"/>
              </w:rPr>
            </w:pPr>
            <w:r>
              <w:rPr>
                <w:rFonts w:ascii="Times New Roman" w:hAnsi="Times New Roman" w:cs="Times New Roman"/>
              </w:rPr>
              <w:t>0.363</w:t>
            </w:r>
            <w:r>
              <w:rPr>
                <w:rFonts w:ascii="Times New Roman" w:hAnsi="Times New Roman" w:cs="Times New Roman"/>
              </w:rPr>
              <w:br/>
              <w:t>(0.257-0.500)</w:t>
            </w:r>
          </w:p>
        </w:tc>
        <w:tc>
          <w:tcPr>
            <w:tcW w:w="1904" w:type="dxa"/>
            <w:tcBorders>
              <w:top w:val="nil"/>
              <w:left w:val="nil"/>
              <w:bottom w:val="nil"/>
              <w:right w:val="nil"/>
            </w:tcBorders>
            <w:tcMar>
              <w:top w:w="-1" w:type="dxa"/>
              <w:left w:w="-1" w:type="dxa"/>
              <w:bottom w:w="-1" w:type="dxa"/>
              <w:right w:w="-1" w:type="dxa"/>
            </w:tcMar>
            <w:vAlign w:val="center"/>
          </w:tcPr>
          <w:p w14:paraId="2F1E365A" w14:textId="77777777" w:rsidR="00EF649D" w:rsidRDefault="00EA0F7C">
            <w:pPr>
              <w:jc w:val="center"/>
              <w:rPr>
                <w:rFonts w:ascii="Times New Roman" w:hAnsi="Times New Roman" w:cs="Times New Roman"/>
              </w:rPr>
            </w:pPr>
            <w:r>
              <w:rPr>
                <w:rFonts w:ascii="Times New Roman" w:hAnsi="Times New Roman" w:cs="Times New Roman"/>
              </w:rPr>
              <w:t>0.392</w:t>
            </w:r>
            <w:r>
              <w:rPr>
                <w:rFonts w:ascii="Times New Roman" w:hAnsi="Times New Roman" w:cs="Times New Roman"/>
              </w:rPr>
              <w:br/>
              <w:t>(0.268-0.586)</w:t>
            </w:r>
          </w:p>
        </w:tc>
        <w:tc>
          <w:tcPr>
            <w:tcW w:w="1898" w:type="dxa"/>
            <w:tcBorders>
              <w:top w:val="nil"/>
              <w:left w:val="nil"/>
              <w:bottom w:val="nil"/>
              <w:right w:val="nil"/>
            </w:tcBorders>
            <w:tcMar>
              <w:top w:w="-1" w:type="dxa"/>
              <w:left w:w="-1" w:type="dxa"/>
              <w:bottom w:w="-1" w:type="dxa"/>
              <w:right w:w="-1" w:type="dxa"/>
            </w:tcMar>
            <w:vAlign w:val="center"/>
          </w:tcPr>
          <w:p w14:paraId="2F1E365B" w14:textId="77777777" w:rsidR="00EF649D" w:rsidRDefault="00EA0F7C">
            <w:pPr>
              <w:jc w:val="center"/>
              <w:rPr>
                <w:rFonts w:ascii="Times New Roman" w:hAnsi="Times New Roman" w:cs="Times New Roman"/>
              </w:rPr>
            </w:pPr>
            <w:r>
              <w:rPr>
                <w:rFonts w:ascii="Times New Roman" w:hAnsi="Times New Roman" w:cs="Times New Roman"/>
              </w:rPr>
              <w:t>0.395</w:t>
            </w:r>
            <w:r>
              <w:rPr>
                <w:rFonts w:ascii="Times New Roman" w:hAnsi="Times New Roman" w:cs="Times New Roman"/>
              </w:rPr>
              <w:br/>
              <w:t>(0.282-0.533)</w:t>
            </w:r>
          </w:p>
        </w:tc>
      </w:tr>
      <w:tr w:rsidR="00EF649D" w14:paraId="2F1E3662" w14:textId="77777777">
        <w:trPr>
          <w:jc w:val="center"/>
        </w:trPr>
        <w:tc>
          <w:tcPr>
            <w:tcW w:w="582" w:type="pct"/>
            <w:tcBorders>
              <w:top w:val="nil"/>
              <w:left w:val="nil"/>
              <w:bottom w:val="nil"/>
              <w:right w:val="nil"/>
            </w:tcBorders>
            <w:tcMar>
              <w:top w:w="-1" w:type="dxa"/>
              <w:left w:w="-1" w:type="dxa"/>
              <w:bottom w:w="-1" w:type="dxa"/>
              <w:right w:w="-1" w:type="dxa"/>
            </w:tcMar>
            <w:vAlign w:val="center"/>
          </w:tcPr>
          <w:p w14:paraId="2F1E365D" w14:textId="77777777" w:rsidR="00EF649D" w:rsidRDefault="00EA0F7C">
            <w:pPr>
              <w:jc w:val="center"/>
              <w:rPr>
                <w:rFonts w:ascii="Times New Roman" w:hAnsi="Times New Roman" w:cs="Times New Roman"/>
                <w:szCs w:val="21"/>
              </w:rPr>
            </w:pPr>
            <w:r>
              <w:rPr>
                <w:rFonts w:ascii="Times New Roman" w:hAnsi="Times New Roman" w:cs="Times New Roman"/>
                <w:szCs w:val="21"/>
              </w:rPr>
              <w:t>B</w:t>
            </w:r>
            <w:r>
              <w:rPr>
                <w:rFonts w:ascii="Times New Roman" w:hAnsi="Times New Roman" w:cs="Times New Roman"/>
                <w:szCs w:val="21"/>
                <w:vertAlign w:val="subscript"/>
              </w:rPr>
              <w:t>2025</w:t>
            </w:r>
            <w:r>
              <w:rPr>
                <w:rFonts w:ascii="Times New Roman" w:hAnsi="Times New Roman" w:cs="Times New Roman"/>
                <w:szCs w:val="21"/>
              </w:rPr>
              <w:t>/B</w:t>
            </w:r>
            <w:r>
              <w:rPr>
                <w:rFonts w:ascii="Times New Roman" w:hAnsi="Times New Roman" w:cs="Times New Roman"/>
                <w:szCs w:val="21"/>
                <w:vertAlign w:val="subscript"/>
              </w:rPr>
              <w:t>MSY</w:t>
            </w:r>
          </w:p>
        </w:tc>
        <w:tc>
          <w:tcPr>
            <w:tcW w:w="1757" w:type="dxa"/>
            <w:tcBorders>
              <w:top w:val="nil"/>
              <w:left w:val="nil"/>
              <w:bottom w:val="nil"/>
              <w:right w:val="nil"/>
            </w:tcBorders>
            <w:tcMar>
              <w:top w:w="-1" w:type="dxa"/>
              <w:left w:w="-1" w:type="dxa"/>
              <w:bottom w:w="-1" w:type="dxa"/>
              <w:right w:w="-1" w:type="dxa"/>
            </w:tcMar>
            <w:vAlign w:val="center"/>
          </w:tcPr>
          <w:p w14:paraId="2F1E365E" w14:textId="77777777" w:rsidR="00EF649D" w:rsidRDefault="00EA0F7C">
            <w:pPr>
              <w:jc w:val="center"/>
              <w:rPr>
                <w:rFonts w:ascii="Times New Roman" w:hAnsi="Times New Roman" w:cs="Times New Roman"/>
              </w:rPr>
            </w:pPr>
            <w:r>
              <w:rPr>
                <w:rFonts w:ascii="Times New Roman" w:hAnsi="Times New Roman" w:cs="Times New Roman"/>
              </w:rPr>
              <w:t>2.041</w:t>
            </w:r>
            <w:r>
              <w:rPr>
                <w:rFonts w:ascii="Times New Roman" w:hAnsi="Times New Roman" w:cs="Times New Roman"/>
              </w:rPr>
              <w:br/>
              <w:t>(1.451-2.605)</w:t>
            </w:r>
          </w:p>
        </w:tc>
        <w:tc>
          <w:tcPr>
            <w:tcW w:w="1808" w:type="dxa"/>
            <w:tcBorders>
              <w:top w:val="nil"/>
              <w:left w:val="nil"/>
              <w:bottom w:val="nil"/>
              <w:right w:val="nil"/>
            </w:tcBorders>
            <w:tcMar>
              <w:top w:w="-1" w:type="dxa"/>
              <w:left w:w="-1" w:type="dxa"/>
              <w:bottom w:w="-1" w:type="dxa"/>
              <w:right w:w="-1" w:type="dxa"/>
            </w:tcMar>
            <w:vAlign w:val="center"/>
          </w:tcPr>
          <w:p w14:paraId="2F1E365F" w14:textId="77777777" w:rsidR="00EF649D" w:rsidRDefault="00EA0F7C">
            <w:pPr>
              <w:jc w:val="center"/>
              <w:rPr>
                <w:rFonts w:ascii="Times New Roman" w:hAnsi="Times New Roman" w:cs="Times New Roman"/>
              </w:rPr>
            </w:pPr>
            <w:r>
              <w:rPr>
                <w:rFonts w:ascii="Times New Roman" w:hAnsi="Times New Roman" w:cs="Times New Roman"/>
              </w:rPr>
              <w:t>1.623</w:t>
            </w:r>
            <w:r>
              <w:rPr>
                <w:rFonts w:ascii="Times New Roman" w:hAnsi="Times New Roman" w:cs="Times New Roman"/>
              </w:rPr>
              <w:br/>
              <w:t>(1.066-2.282)</w:t>
            </w:r>
          </w:p>
        </w:tc>
        <w:tc>
          <w:tcPr>
            <w:tcW w:w="1904" w:type="dxa"/>
            <w:tcBorders>
              <w:top w:val="nil"/>
              <w:left w:val="nil"/>
              <w:bottom w:val="nil"/>
              <w:right w:val="nil"/>
            </w:tcBorders>
            <w:tcMar>
              <w:top w:w="-1" w:type="dxa"/>
              <w:left w:w="-1" w:type="dxa"/>
              <w:bottom w:w="-1" w:type="dxa"/>
              <w:right w:w="-1" w:type="dxa"/>
            </w:tcMar>
            <w:vAlign w:val="center"/>
          </w:tcPr>
          <w:p w14:paraId="2F1E3660" w14:textId="77777777" w:rsidR="00EF649D" w:rsidRDefault="00EA0F7C">
            <w:pPr>
              <w:jc w:val="center"/>
              <w:rPr>
                <w:rFonts w:ascii="Times New Roman" w:hAnsi="Times New Roman" w:cs="Times New Roman"/>
              </w:rPr>
            </w:pPr>
            <w:r>
              <w:rPr>
                <w:rFonts w:ascii="Times New Roman" w:hAnsi="Times New Roman" w:cs="Times New Roman"/>
              </w:rPr>
              <w:t>1.863</w:t>
            </w:r>
            <w:r>
              <w:rPr>
                <w:rFonts w:ascii="Times New Roman" w:hAnsi="Times New Roman" w:cs="Times New Roman"/>
              </w:rPr>
              <w:br/>
              <w:t>(1.329-2.429)</w:t>
            </w:r>
          </w:p>
        </w:tc>
        <w:tc>
          <w:tcPr>
            <w:tcW w:w="1898" w:type="dxa"/>
            <w:tcBorders>
              <w:top w:val="nil"/>
              <w:left w:val="nil"/>
              <w:bottom w:val="nil"/>
              <w:right w:val="nil"/>
            </w:tcBorders>
            <w:tcMar>
              <w:top w:w="-1" w:type="dxa"/>
              <w:left w:w="-1" w:type="dxa"/>
              <w:bottom w:w="-1" w:type="dxa"/>
              <w:right w:w="-1" w:type="dxa"/>
            </w:tcMar>
            <w:vAlign w:val="center"/>
          </w:tcPr>
          <w:p w14:paraId="2F1E3661" w14:textId="77777777" w:rsidR="00EF649D" w:rsidRDefault="00EA0F7C">
            <w:pPr>
              <w:jc w:val="center"/>
              <w:rPr>
                <w:rFonts w:ascii="Times New Roman" w:hAnsi="Times New Roman" w:cs="Times New Roman"/>
              </w:rPr>
            </w:pPr>
            <w:r>
              <w:rPr>
                <w:rFonts w:ascii="Times New Roman" w:hAnsi="Times New Roman" w:cs="Times New Roman"/>
              </w:rPr>
              <w:t>1.963</w:t>
            </w:r>
            <w:r>
              <w:rPr>
                <w:rFonts w:ascii="Times New Roman" w:hAnsi="Times New Roman" w:cs="Times New Roman"/>
              </w:rPr>
              <w:br/>
              <w:t>(1.516-2.417)</w:t>
            </w:r>
          </w:p>
        </w:tc>
      </w:tr>
      <w:tr w:rsidR="00EF649D" w14:paraId="2F1E3668" w14:textId="77777777">
        <w:trPr>
          <w:jc w:val="center"/>
        </w:trPr>
        <w:tc>
          <w:tcPr>
            <w:tcW w:w="582" w:type="pct"/>
            <w:tcBorders>
              <w:top w:val="nil"/>
              <w:left w:val="nil"/>
              <w:bottom w:val="single" w:sz="12" w:space="0" w:color="auto"/>
              <w:right w:val="nil"/>
            </w:tcBorders>
            <w:tcMar>
              <w:top w:w="-1" w:type="dxa"/>
              <w:left w:w="-1" w:type="dxa"/>
              <w:bottom w:w="-1" w:type="dxa"/>
              <w:right w:w="-1" w:type="dxa"/>
            </w:tcMar>
            <w:vAlign w:val="center"/>
          </w:tcPr>
          <w:p w14:paraId="2F1E3663" w14:textId="77777777" w:rsidR="00EF649D" w:rsidRDefault="00EA0F7C">
            <w:pPr>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szCs w:val="21"/>
                <w:vertAlign w:val="subscript"/>
              </w:rPr>
              <w:t>2025</w:t>
            </w:r>
            <w:r>
              <w:rPr>
                <w:rFonts w:ascii="Times New Roman" w:hAnsi="Times New Roman" w:cs="Times New Roman"/>
                <w:szCs w:val="21"/>
              </w:rPr>
              <w:t>/F</w:t>
            </w:r>
            <w:r>
              <w:rPr>
                <w:rFonts w:ascii="Times New Roman" w:hAnsi="Times New Roman" w:cs="Times New Roman"/>
                <w:szCs w:val="21"/>
                <w:vertAlign w:val="subscript"/>
              </w:rPr>
              <w:t>MSY</w:t>
            </w:r>
          </w:p>
        </w:tc>
        <w:tc>
          <w:tcPr>
            <w:tcW w:w="1757" w:type="dxa"/>
            <w:tcBorders>
              <w:top w:val="nil"/>
              <w:left w:val="nil"/>
              <w:bottom w:val="single" w:sz="12" w:space="0" w:color="auto"/>
              <w:right w:val="nil"/>
            </w:tcBorders>
            <w:tcMar>
              <w:top w:w="-1" w:type="dxa"/>
              <w:left w:w="-1" w:type="dxa"/>
              <w:bottom w:w="-1" w:type="dxa"/>
              <w:right w:w="-1" w:type="dxa"/>
            </w:tcMar>
            <w:vAlign w:val="center"/>
          </w:tcPr>
          <w:p w14:paraId="2F1E3664" w14:textId="77777777" w:rsidR="00EF649D" w:rsidRDefault="00EA0F7C">
            <w:pPr>
              <w:jc w:val="center"/>
              <w:rPr>
                <w:rFonts w:ascii="Times New Roman" w:hAnsi="Times New Roman" w:cs="Times New Roman"/>
              </w:rPr>
            </w:pPr>
            <w:r>
              <w:rPr>
                <w:rFonts w:ascii="Times New Roman" w:hAnsi="Times New Roman" w:cs="Times New Roman"/>
              </w:rPr>
              <w:t>0.563</w:t>
            </w:r>
            <w:r>
              <w:rPr>
                <w:rFonts w:ascii="Times New Roman" w:hAnsi="Times New Roman" w:cs="Times New Roman"/>
              </w:rPr>
              <w:br/>
              <w:t>(0.202-1.427)</w:t>
            </w:r>
          </w:p>
        </w:tc>
        <w:tc>
          <w:tcPr>
            <w:tcW w:w="1808" w:type="dxa"/>
            <w:tcBorders>
              <w:top w:val="nil"/>
              <w:left w:val="nil"/>
              <w:bottom w:val="single" w:sz="12" w:space="0" w:color="auto"/>
              <w:right w:val="nil"/>
            </w:tcBorders>
            <w:tcMar>
              <w:top w:w="-1" w:type="dxa"/>
              <w:left w:w="-1" w:type="dxa"/>
              <w:bottom w:w="-1" w:type="dxa"/>
              <w:right w:w="-1" w:type="dxa"/>
            </w:tcMar>
            <w:vAlign w:val="center"/>
          </w:tcPr>
          <w:p w14:paraId="2F1E3665" w14:textId="77777777" w:rsidR="00EF649D" w:rsidRDefault="00EA0F7C">
            <w:pPr>
              <w:jc w:val="center"/>
              <w:rPr>
                <w:rFonts w:ascii="Times New Roman" w:hAnsi="Times New Roman" w:cs="Times New Roman"/>
              </w:rPr>
            </w:pPr>
            <w:r>
              <w:rPr>
                <w:rFonts w:ascii="Times New Roman" w:hAnsi="Times New Roman" w:cs="Times New Roman"/>
              </w:rPr>
              <w:t>0.845</w:t>
            </w:r>
            <w:r>
              <w:rPr>
                <w:rFonts w:ascii="Times New Roman" w:hAnsi="Times New Roman" w:cs="Times New Roman"/>
              </w:rPr>
              <w:br/>
              <w:t>(0.289-2.086)</w:t>
            </w:r>
          </w:p>
        </w:tc>
        <w:tc>
          <w:tcPr>
            <w:tcW w:w="1904" w:type="dxa"/>
            <w:tcBorders>
              <w:top w:val="nil"/>
              <w:left w:val="nil"/>
              <w:bottom w:val="single" w:sz="12" w:space="0" w:color="auto"/>
              <w:right w:val="nil"/>
            </w:tcBorders>
            <w:tcMar>
              <w:top w:w="-1" w:type="dxa"/>
              <w:left w:w="-1" w:type="dxa"/>
              <w:bottom w:w="-1" w:type="dxa"/>
              <w:right w:w="-1" w:type="dxa"/>
            </w:tcMar>
            <w:vAlign w:val="center"/>
          </w:tcPr>
          <w:p w14:paraId="2F1E3666" w14:textId="77777777" w:rsidR="00EF649D" w:rsidRDefault="00EA0F7C">
            <w:pPr>
              <w:jc w:val="center"/>
              <w:rPr>
                <w:rFonts w:ascii="Times New Roman" w:hAnsi="Times New Roman" w:cs="Times New Roman"/>
              </w:rPr>
            </w:pPr>
            <w:r>
              <w:rPr>
                <w:rFonts w:ascii="Times New Roman" w:hAnsi="Times New Roman" w:cs="Times New Roman"/>
              </w:rPr>
              <w:t>0.555</w:t>
            </w:r>
            <w:r>
              <w:rPr>
                <w:rFonts w:ascii="Times New Roman" w:hAnsi="Times New Roman" w:cs="Times New Roman"/>
              </w:rPr>
              <w:br/>
              <w:t>(0.202-1.501)</w:t>
            </w:r>
          </w:p>
        </w:tc>
        <w:tc>
          <w:tcPr>
            <w:tcW w:w="1898" w:type="dxa"/>
            <w:tcBorders>
              <w:top w:val="nil"/>
              <w:left w:val="nil"/>
              <w:bottom w:val="single" w:sz="12" w:space="0" w:color="auto"/>
              <w:right w:val="nil"/>
            </w:tcBorders>
            <w:tcMar>
              <w:top w:w="-1" w:type="dxa"/>
              <w:left w:w="-1" w:type="dxa"/>
              <w:bottom w:w="-1" w:type="dxa"/>
              <w:right w:w="-1" w:type="dxa"/>
            </w:tcMar>
            <w:vAlign w:val="center"/>
          </w:tcPr>
          <w:p w14:paraId="2F1E3667" w14:textId="77777777" w:rsidR="00EF649D" w:rsidRDefault="00EA0F7C">
            <w:pPr>
              <w:jc w:val="center"/>
              <w:rPr>
                <w:rFonts w:ascii="Times New Roman" w:hAnsi="Times New Roman" w:cs="Times New Roman"/>
              </w:rPr>
            </w:pPr>
            <w:r>
              <w:rPr>
                <w:rFonts w:ascii="Times New Roman" w:hAnsi="Times New Roman" w:cs="Times New Roman"/>
              </w:rPr>
              <w:t>0.465</w:t>
            </w:r>
            <w:r>
              <w:rPr>
                <w:rFonts w:ascii="Times New Roman" w:hAnsi="Times New Roman" w:cs="Times New Roman"/>
              </w:rPr>
              <w:br/>
              <w:t>(0.172-1.126)</w:t>
            </w:r>
          </w:p>
        </w:tc>
      </w:tr>
    </w:tbl>
    <w:p w14:paraId="2F1E3669" w14:textId="77777777" w:rsidR="00EF649D" w:rsidRDefault="00EA0F7C">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 xml:space="preserve">Median posterior estimates (95% credible intervals) of key quantities for the </w:t>
      </w:r>
      <w:r>
        <w:rPr>
          <w:rFonts w:ascii="Times New Roman" w:eastAsia="SimSun" w:hAnsi="Times New Roman" w:cs="Times New Roman" w:hint="eastAsia"/>
          <w:color w:val="0F1115"/>
          <w:szCs w:val="21"/>
          <w:shd w:val="clear" w:color="auto" w:fill="FFFFFF"/>
        </w:rPr>
        <w:t>stock-wide</w:t>
      </w:r>
      <w:r>
        <w:rPr>
          <w:rFonts w:ascii="Times New Roman" w:eastAsia="Segoe UI" w:hAnsi="Times New Roman" w:cs="Times New Roman"/>
          <w:color w:val="0F1115"/>
          <w:szCs w:val="21"/>
          <w:shd w:val="clear" w:color="auto" w:fill="FFFFFF"/>
        </w:rPr>
        <w:t xml:space="preserve"> of </w:t>
      </w:r>
      <w:r>
        <w:rPr>
          <w:rFonts w:ascii="Times New Roman" w:eastAsia="SimSun" w:hAnsi="Times New Roman" w:cs="Times New Roman" w:hint="eastAsia"/>
          <w:color w:val="0F1115"/>
          <w:szCs w:val="21"/>
          <w:shd w:val="clear" w:color="auto" w:fill="FFFFFF"/>
        </w:rPr>
        <w:t>NFS</w:t>
      </w:r>
    </w:p>
    <w:tbl>
      <w:tblPr>
        <w:tblW w:w="5129" w:type="pct"/>
        <w:jc w:val="center"/>
        <w:tblBorders>
          <w:right w:val="single" w:sz="12" w:space="0" w:color="000000"/>
        </w:tblBorders>
        <w:tblLayout w:type="fixed"/>
        <w:tblCellMar>
          <w:left w:w="0" w:type="dxa"/>
          <w:right w:w="0" w:type="dxa"/>
        </w:tblCellMar>
        <w:tblLook w:val="04A0" w:firstRow="1" w:lastRow="0" w:firstColumn="1" w:lastColumn="0" w:noHBand="0" w:noVBand="1"/>
      </w:tblPr>
      <w:tblGrid>
        <w:gridCol w:w="947"/>
        <w:gridCol w:w="1894"/>
        <w:gridCol w:w="1893"/>
        <w:gridCol w:w="1893"/>
        <w:gridCol w:w="1893"/>
      </w:tblGrid>
      <w:tr w:rsidR="00EF649D" w14:paraId="2F1E366F" w14:textId="77777777">
        <w:trPr>
          <w:tblHeader/>
          <w:jc w:val="center"/>
        </w:trPr>
        <w:tc>
          <w:tcPr>
            <w:tcW w:w="555" w:type="pct"/>
            <w:tcBorders>
              <w:top w:val="single" w:sz="12" w:space="0" w:color="auto"/>
              <w:left w:val="nil"/>
              <w:bottom w:val="single" w:sz="4" w:space="0" w:color="000000"/>
              <w:right w:val="nil"/>
            </w:tcBorders>
            <w:tcMar>
              <w:top w:w="-1" w:type="dxa"/>
              <w:left w:w="-1" w:type="dxa"/>
              <w:bottom w:w="-1" w:type="dxa"/>
              <w:right w:w="-1" w:type="dxa"/>
            </w:tcMar>
            <w:vAlign w:val="center"/>
          </w:tcPr>
          <w:p w14:paraId="2F1E366A" w14:textId="77777777" w:rsidR="00EF649D" w:rsidRDefault="00EA0F7C">
            <w:pPr>
              <w:jc w:val="center"/>
              <w:rPr>
                <w:rFonts w:ascii="Times New Roman" w:hAnsi="Times New Roman" w:cs="Times New Roman"/>
              </w:rPr>
            </w:pPr>
            <w:r>
              <w:rPr>
                <w:rFonts w:ascii="Times New Roman" w:hAnsi="Times New Roman" w:cs="Times New Roman"/>
              </w:rPr>
              <w:t>Parameter</w:t>
            </w:r>
          </w:p>
        </w:tc>
        <w:tc>
          <w:tcPr>
            <w:tcW w:w="1111" w:type="pct"/>
            <w:tcBorders>
              <w:top w:val="single" w:sz="12" w:space="0" w:color="auto"/>
              <w:left w:val="nil"/>
              <w:bottom w:val="single" w:sz="4" w:space="0" w:color="000000"/>
              <w:right w:val="nil"/>
            </w:tcBorders>
            <w:tcMar>
              <w:top w:w="-1" w:type="dxa"/>
              <w:left w:w="-1" w:type="dxa"/>
              <w:bottom w:w="-1" w:type="dxa"/>
              <w:right w:w="-1" w:type="dxa"/>
            </w:tcMar>
            <w:vAlign w:val="center"/>
          </w:tcPr>
          <w:p w14:paraId="2F1E366B" w14:textId="77777777" w:rsidR="00EF649D" w:rsidRDefault="00EA0F7C">
            <w:pPr>
              <w:jc w:val="center"/>
              <w:rPr>
                <w:rFonts w:ascii="Times New Roman" w:hAnsi="Times New Roman" w:cs="Times New Roman"/>
              </w:rPr>
            </w:pPr>
            <w:r>
              <w:rPr>
                <w:rFonts w:ascii="Times New Roman" w:hAnsi="Times New Roman" w:cs="Times New Roman"/>
              </w:rPr>
              <w:t>Nominal CPUE</w:t>
            </w:r>
          </w:p>
        </w:tc>
        <w:tc>
          <w:tcPr>
            <w:tcW w:w="1111" w:type="pct"/>
            <w:tcBorders>
              <w:top w:val="single" w:sz="12" w:space="0" w:color="auto"/>
              <w:left w:val="nil"/>
              <w:bottom w:val="single" w:sz="4" w:space="0" w:color="000000"/>
              <w:right w:val="nil"/>
            </w:tcBorders>
            <w:tcMar>
              <w:top w:w="-1" w:type="dxa"/>
              <w:left w:w="-1" w:type="dxa"/>
              <w:bottom w:w="-1" w:type="dxa"/>
              <w:right w:w="-1" w:type="dxa"/>
            </w:tcMar>
            <w:vAlign w:val="center"/>
          </w:tcPr>
          <w:p w14:paraId="2F1E366C" w14:textId="77777777" w:rsidR="00EF649D" w:rsidRDefault="00EA0F7C">
            <w:pPr>
              <w:jc w:val="center"/>
              <w:rPr>
                <w:rFonts w:ascii="Times New Roman" w:hAnsi="Times New Roman" w:cs="Times New Roman"/>
              </w:rPr>
            </w:pPr>
            <w:r>
              <w:rPr>
                <w:rFonts w:ascii="Times New Roman" w:hAnsi="Times New Roman" w:cs="Times New Roman"/>
              </w:rPr>
              <w:t>GAM-standardized CPUE</w:t>
            </w:r>
          </w:p>
        </w:tc>
        <w:tc>
          <w:tcPr>
            <w:tcW w:w="1111" w:type="pct"/>
            <w:tcBorders>
              <w:top w:val="single" w:sz="12" w:space="0" w:color="auto"/>
              <w:left w:val="nil"/>
              <w:bottom w:val="single" w:sz="4" w:space="0" w:color="000000"/>
              <w:right w:val="nil"/>
            </w:tcBorders>
            <w:tcMar>
              <w:top w:w="-1" w:type="dxa"/>
              <w:left w:w="-1" w:type="dxa"/>
              <w:bottom w:w="-1" w:type="dxa"/>
              <w:right w:w="-1" w:type="dxa"/>
            </w:tcMar>
            <w:vAlign w:val="center"/>
          </w:tcPr>
          <w:p w14:paraId="2F1E366D" w14:textId="77777777" w:rsidR="00EF649D" w:rsidRDefault="00EA0F7C">
            <w:pPr>
              <w:jc w:val="center"/>
              <w:rPr>
                <w:rFonts w:ascii="Times New Roman" w:hAnsi="Times New Roman" w:cs="Times New Roman"/>
              </w:rPr>
            </w:pPr>
            <w:r>
              <w:rPr>
                <w:rFonts w:ascii="Times New Roman" w:hAnsi="Times New Roman" w:cs="Times New Roman"/>
              </w:rPr>
              <w:t>RF-standardized CPUE</w:t>
            </w:r>
          </w:p>
        </w:tc>
        <w:tc>
          <w:tcPr>
            <w:tcW w:w="1111" w:type="pct"/>
            <w:tcBorders>
              <w:top w:val="single" w:sz="12" w:space="0" w:color="auto"/>
              <w:left w:val="nil"/>
              <w:bottom w:val="single" w:sz="4" w:space="0" w:color="000000"/>
              <w:right w:val="nil"/>
            </w:tcBorders>
            <w:tcMar>
              <w:top w:w="-1" w:type="dxa"/>
              <w:left w:w="-1" w:type="dxa"/>
              <w:bottom w:w="-1" w:type="dxa"/>
              <w:right w:w="-1" w:type="dxa"/>
            </w:tcMar>
            <w:vAlign w:val="center"/>
          </w:tcPr>
          <w:p w14:paraId="2F1E366E" w14:textId="77777777" w:rsidR="00EF649D" w:rsidRDefault="00EA0F7C">
            <w:pPr>
              <w:jc w:val="center"/>
              <w:rPr>
                <w:rFonts w:ascii="Times New Roman" w:hAnsi="Times New Roman" w:cs="Times New Roman"/>
              </w:rPr>
            </w:pPr>
            <w:r>
              <w:rPr>
                <w:rFonts w:ascii="Times New Roman" w:hAnsi="Times New Roman" w:cs="Times New Roman"/>
              </w:rPr>
              <w:t>GBM-standardized CPUE</w:t>
            </w:r>
          </w:p>
        </w:tc>
      </w:tr>
      <w:tr w:rsidR="00EF649D" w14:paraId="2F1E3675" w14:textId="77777777">
        <w:trPr>
          <w:jc w:val="center"/>
        </w:trPr>
        <w:tc>
          <w:tcPr>
            <w:tcW w:w="555" w:type="pct"/>
            <w:tcBorders>
              <w:top w:val="single" w:sz="4" w:space="0" w:color="000000"/>
              <w:left w:val="nil"/>
              <w:bottom w:val="nil"/>
              <w:right w:val="nil"/>
            </w:tcBorders>
            <w:tcMar>
              <w:top w:w="-1" w:type="dxa"/>
              <w:left w:w="-1" w:type="dxa"/>
              <w:bottom w:w="-1" w:type="dxa"/>
              <w:right w:w="-1" w:type="dxa"/>
            </w:tcMar>
            <w:vAlign w:val="center"/>
          </w:tcPr>
          <w:p w14:paraId="2F1E3670" w14:textId="77777777" w:rsidR="00EF649D" w:rsidRDefault="00EA0F7C">
            <w:pPr>
              <w:jc w:val="center"/>
              <w:rPr>
                <w:rFonts w:ascii="Times New Roman" w:hAnsi="Times New Roman" w:cs="Times New Roman"/>
              </w:rPr>
            </w:pPr>
            <w:r>
              <w:rPr>
                <w:rFonts w:ascii="Times New Roman" w:hAnsi="Times New Roman" w:cs="Times New Roman"/>
              </w:rPr>
              <w:t>MSY</w:t>
            </w:r>
          </w:p>
        </w:tc>
        <w:tc>
          <w:tcPr>
            <w:tcW w:w="1943" w:type="dxa"/>
            <w:tcBorders>
              <w:top w:val="single" w:sz="4" w:space="0" w:color="000000"/>
              <w:left w:val="nil"/>
              <w:bottom w:val="nil"/>
              <w:right w:val="nil"/>
            </w:tcBorders>
            <w:tcMar>
              <w:top w:w="-1" w:type="dxa"/>
              <w:left w:w="-1" w:type="dxa"/>
              <w:bottom w:w="-1" w:type="dxa"/>
              <w:right w:w="-1" w:type="dxa"/>
            </w:tcMar>
            <w:vAlign w:val="center"/>
          </w:tcPr>
          <w:p w14:paraId="2F1E3671" w14:textId="77777777" w:rsidR="00EF649D" w:rsidRDefault="00EA0F7C">
            <w:pPr>
              <w:jc w:val="center"/>
              <w:rPr>
                <w:rFonts w:ascii="Times New Roman" w:hAnsi="Times New Roman" w:cs="Times New Roman"/>
                <w:szCs w:val="21"/>
              </w:rPr>
            </w:pPr>
            <w:r>
              <w:rPr>
                <w:rFonts w:ascii="Times New Roman" w:hAnsi="Times New Roman" w:cs="Times New Roman"/>
                <w:szCs w:val="21"/>
              </w:rPr>
              <w:t>83990.240</w:t>
            </w:r>
            <w:r>
              <w:rPr>
                <w:rFonts w:ascii="Times New Roman" w:hAnsi="Times New Roman" w:cs="Times New Roman"/>
                <w:szCs w:val="21"/>
              </w:rPr>
              <w:br/>
              <w:t>(52911.252-283860.722)</w:t>
            </w:r>
          </w:p>
        </w:tc>
        <w:tc>
          <w:tcPr>
            <w:tcW w:w="1943" w:type="dxa"/>
            <w:tcBorders>
              <w:top w:val="single" w:sz="4" w:space="0" w:color="000000"/>
              <w:left w:val="nil"/>
              <w:bottom w:val="nil"/>
              <w:right w:val="nil"/>
            </w:tcBorders>
            <w:tcMar>
              <w:top w:w="-1" w:type="dxa"/>
              <w:left w:w="-1" w:type="dxa"/>
              <w:bottom w:w="-1" w:type="dxa"/>
              <w:right w:w="-1" w:type="dxa"/>
            </w:tcMar>
            <w:vAlign w:val="center"/>
          </w:tcPr>
          <w:p w14:paraId="2F1E3672" w14:textId="77777777" w:rsidR="00EF649D" w:rsidRDefault="00EA0F7C">
            <w:pPr>
              <w:jc w:val="center"/>
              <w:rPr>
                <w:rFonts w:ascii="Times New Roman" w:hAnsi="Times New Roman" w:cs="Times New Roman"/>
                <w:szCs w:val="21"/>
              </w:rPr>
            </w:pPr>
            <w:r>
              <w:rPr>
                <w:rFonts w:ascii="Times New Roman" w:hAnsi="Times New Roman" w:cs="Times New Roman"/>
                <w:szCs w:val="21"/>
              </w:rPr>
              <w:t>70162.692</w:t>
            </w:r>
            <w:r>
              <w:rPr>
                <w:rFonts w:ascii="Times New Roman" w:hAnsi="Times New Roman" w:cs="Times New Roman"/>
                <w:szCs w:val="21"/>
              </w:rPr>
              <w:br/>
              <w:t>(52729.678-94541.996)</w:t>
            </w:r>
          </w:p>
        </w:tc>
        <w:tc>
          <w:tcPr>
            <w:tcW w:w="1943" w:type="dxa"/>
            <w:tcBorders>
              <w:top w:val="single" w:sz="4" w:space="0" w:color="000000"/>
              <w:left w:val="nil"/>
              <w:bottom w:val="nil"/>
              <w:right w:val="nil"/>
            </w:tcBorders>
            <w:tcMar>
              <w:top w:w="-1" w:type="dxa"/>
              <w:left w:w="-1" w:type="dxa"/>
              <w:bottom w:w="-1" w:type="dxa"/>
              <w:right w:w="-1" w:type="dxa"/>
            </w:tcMar>
            <w:vAlign w:val="center"/>
          </w:tcPr>
          <w:p w14:paraId="2F1E3673" w14:textId="77777777" w:rsidR="00EF649D" w:rsidRDefault="00EA0F7C">
            <w:pPr>
              <w:jc w:val="center"/>
              <w:rPr>
                <w:rFonts w:ascii="Times New Roman" w:hAnsi="Times New Roman" w:cs="Times New Roman"/>
                <w:szCs w:val="21"/>
              </w:rPr>
            </w:pPr>
            <w:r>
              <w:rPr>
                <w:rFonts w:ascii="Times New Roman" w:hAnsi="Times New Roman" w:cs="Times New Roman"/>
                <w:szCs w:val="21"/>
              </w:rPr>
              <w:t>61861.420</w:t>
            </w:r>
            <w:r>
              <w:rPr>
                <w:rFonts w:ascii="Times New Roman" w:hAnsi="Times New Roman" w:cs="Times New Roman"/>
                <w:szCs w:val="21"/>
              </w:rPr>
              <w:br/>
              <w:t>(46328.199-88774.574)</w:t>
            </w:r>
          </w:p>
        </w:tc>
        <w:tc>
          <w:tcPr>
            <w:tcW w:w="1943" w:type="dxa"/>
            <w:tcBorders>
              <w:top w:val="single" w:sz="4" w:space="0" w:color="000000"/>
              <w:left w:val="nil"/>
              <w:bottom w:val="nil"/>
              <w:right w:val="nil"/>
            </w:tcBorders>
            <w:tcMar>
              <w:top w:w="-1" w:type="dxa"/>
              <w:left w:w="-1" w:type="dxa"/>
              <w:bottom w:w="-1" w:type="dxa"/>
              <w:right w:w="-1" w:type="dxa"/>
            </w:tcMar>
            <w:vAlign w:val="center"/>
          </w:tcPr>
          <w:p w14:paraId="2F1E3674" w14:textId="77777777" w:rsidR="00EF649D" w:rsidRDefault="00EA0F7C">
            <w:pPr>
              <w:jc w:val="center"/>
              <w:rPr>
                <w:rFonts w:ascii="Times New Roman" w:hAnsi="Times New Roman" w:cs="Times New Roman"/>
                <w:szCs w:val="21"/>
              </w:rPr>
            </w:pPr>
            <w:r>
              <w:rPr>
                <w:rFonts w:ascii="Times New Roman" w:hAnsi="Times New Roman" w:cs="Times New Roman"/>
                <w:szCs w:val="21"/>
              </w:rPr>
              <w:t>71474.508</w:t>
            </w:r>
            <w:r>
              <w:rPr>
                <w:rFonts w:ascii="Times New Roman" w:hAnsi="Times New Roman" w:cs="Times New Roman"/>
                <w:szCs w:val="21"/>
              </w:rPr>
              <w:br/>
              <w:t>(54588.805-97896.377)</w:t>
            </w:r>
          </w:p>
        </w:tc>
      </w:tr>
      <w:tr w:rsidR="00EF649D" w14:paraId="2F1E367B" w14:textId="77777777">
        <w:trPr>
          <w:jc w:val="center"/>
        </w:trPr>
        <w:tc>
          <w:tcPr>
            <w:tcW w:w="555" w:type="pct"/>
            <w:tcBorders>
              <w:top w:val="nil"/>
              <w:left w:val="nil"/>
              <w:bottom w:val="nil"/>
              <w:right w:val="nil"/>
            </w:tcBorders>
            <w:tcMar>
              <w:top w:w="-1" w:type="dxa"/>
              <w:left w:w="-1" w:type="dxa"/>
              <w:bottom w:w="-1" w:type="dxa"/>
              <w:right w:w="-1" w:type="dxa"/>
            </w:tcMar>
            <w:vAlign w:val="center"/>
          </w:tcPr>
          <w:p w14:paraId="2F1E3676" w14:textId="77777777" w:rsidR="00EF649D" w:rsidRDefault="00EA0F7C">
            <w:pPr>
              <w:jc w:val="center"/>
              <w:rPr>
                <w:rFonts w:ascii="Times New Roman" w:hAnsi="Times New Roman" w:cs="Times New Roman"/>
              </w:rPr>
            </w:pPr>
            <w:r>
              <w:rPr>
                <w:rFonts w:ascii="Times New Roman" w:hAnsi="Times New Roman" w:cs="Times New Roman"/>
              </w:rPr>
              <w:t>B</w:t>
            </w:r>
            <w:r>
              <w:rPr>
                <w:rFonts w:ascii="Times New Roman" w:hAnsi="Times New Roman" w:cs="Times New Roman"/>
                <w:vertAlign w:val="subscript"/>
              </w:rPr>
              <w:t>MSY</w:t>
            </w:r>
          </w:p>
        </w:tc>
        <w:tc>
          <w:tcPr>
            <w:tcW w:w="1943" w:type="dxa"/>
            <w:tcBorders>
              <w:top w:val="nil"/>
              <w:left w:val="nil"/>
              <w:bottom w:val="nil"/>
              <w:right w:val="nil"/>
            </w:tcBorders>
            <w:tcMar>
              <w:top w:w="-1" w:type="dxa"/>
              <w:left w:w="-1" w:type="dxa"/>
              <w:bottom w:w="-1" w:type="dxa"/>
              <w:right w:w="-1" w:type="dxa"/>
            </w:tcMar>
            <w:vAlign w:val="center"/>
          </w:tcPr>
          <w:p w14:paraId="2F1E3677" w14:textId="77777777" w:rsidR="00EF649D" w:rsidRDefault="00EA0F7C">
            <w:pPr>
              <w:jc w:val="center"/>
              <w:rPr>
                <w:rFonts w:ascii="Times New Roman" w:hAnsi="Times New Roman" w:cs="Times New Roman"/>
                <w:szCs w:val="21"/>
              </w:rPr>
            </w:pPr>
            <w:r>
              <w:rPr>
                <w:rFonts w:ascii="Times New Roman" w:hAnsi="Times New Roman" w:cs="Times New Roman"/>
                <w:szCs w:val="21"/>
              </w:rPr>
              <w:t>264657.718</w:t>
            </w:r>
            <w:r>
              <w:rPr>
                <w:rFonts w:ascii="Times New Roman" w:hAnsi="Times New Roman" w:cs="Times New Roman"/>
                <w:szCs w:val="21"/>
              </w:rPr>
              <w:br/>
              <w:t>(173431.106-732554.916)</w:t>
            </w:r>
          </w:p>
        </w:tc>
        <w:tc>
          <w:tcPr>
            <w:tcW w:w="1943" w:type="dxa"/>
            <w:tcBorders>
              <w:top w:val="nil"/>
              <w:left w:val="nil"/>
              <w:bottom w:val="nil"/>
              <w:right w:val="nil"/>
            </w:tcBorders>
            <w:tcMar>
              <w:top w:w="-1" w:type="dxa"/>
              <w:left w:w="-1" w:type="dxa"/>
              <w:bottom w:w="-1" w:type="dxa"/>
              <w:right w:w="-1" w:type="dxa"/>
            </w:tcMar>
            <w:vAlign w:val="center"/>
          </w:tcPr>
          <w:p w14:paraId="2F1E3678" w14:textId="77777777" w:rsidR="00EF649D" w:rsidRDefault="00EA0F7C">
            <w:pPr>
              <w:jc w:val="center"/>
              <w:rPr>
                <w:rFonts w:ascii="Times New Roman" w:hAnsi="Times New Roman" w:cs="Times New Roman"/>
                <w:szCs w:val="21"/>
              </w:rPr>
            </w:pPr>
            <w:r>
              <w:rPr>
                <w:rFonts w:ascii="Times New Roman" w:hAnsi="Times New Roman" w:cs="Times New Roman"/>
                <w:szCs w:val="21"/>
              </w:rPr>
              <w:t>256649.985</w:t>
            </w:r>
            <w:r>
              <w:rPr>
                <w:rFonts w:ascii="Times New Roman" w:hAnsi="Times New Roman" w:cs="Times New Roman"/>
                <w:szCs w:val="21"/>
              </w:rPr>
              <w:br/>
              <w:t>(192521.585-378110.757)</w:t>
            </w:r>
          </w:p>
        </w:tc>
        <w:tc>
          <w:tcPr>
            <w:tcW w:w="1943" w:type="dxa"/>
            <w:tcBorders>
              <w:top w:val="nil"/>
              <w:left w:val="nil"/>
              <w:bottom w:val="nil"/>
              <w:right w:val="nil"/>
            </w:tcBorders>
            <w:tcMar>
              <w:top w:w="-1" w:type="dxa"/>
              <w:left w:w="-1" w:type="dxa"/>
              <w:bottom w:w="-1" w:type="dxa"/>
              <w:right w:w="-1" w:type="dxa"/>
            </w:tcMar>
            <w:vAlign w:val="center"/>
          </w:tcPr>
          <w:p w14:paraId="2F1E3679" w14:textId="77777777" w:rsidR="00EF649D" w:rsidRDefault="00EA0F7C">
            <w:pPr>
              <w:jc w:val="center"/>
              <w:rPr>
                <w:rFonts w:ascii="Times New Roman" w:hAnsi="Times New Roman" w:cs="Times New Roman"/>
                <w:szCs w:val="21"/>
              </w:rPr>
            </w:pPr>
            <w:r>
              <w:rPr>
                <w:rFonts w:ascii="Times New Roman" w:hAnsi="Times New Roman" w:cs="Times New Roman"/>
                <w:szCs w:val="21"/>
              </w:rPr>
              <w:t>233669.167</w:t>
            </w:r>
            <w:r>
              <w:rPr>
                <w:rFonts w:ascii="Times New Roman" w:hAnsi="Times New Roman" w:cs="Times New Roman"/>
                <w:szCs w:val="21"/>
              </w:rPr>
              <w:br/>
              <w:t>(172904.038-350867.151)</w:t>
            </w:r>
          </w:p>
        </w:tc>
        <w:tc>
          <w:tcPr>
            <w:tcW w:w="1943" w:type="dxa"/>
            <w:tcBorders>
              <w:top w:val="nil"/>
              <w:left w:val="nil"/>
              <w:bottom w:val="nil"/>
              <w:right w:val="nil"/>
            </w:tcBorders>
            <w:tcMar>
              <w:top w:w="-1" w:type="dxa"/>
              <w:left w:w="-1" w:type="dxa"/>
              <w:bottom w:w="-1" w:type="dxa"/>
              <w:right w:w="-1" w:type="dxa"/>
            </w:tcMar>
            <w:vAlign w:val="center"/>
          </w:tcPr>
          <w:p w14:paraId="2F1E367A" w14:textId="77777777" w:rsidR="00EF649D" w:rsidRDefault="00EA0F7C">
            <w:pPr>
              <w:jc w:val="center"/>
              <w:rPr>
                <w:rFonts w:ascii="Times New Roman" w:hAnsi="Times New Roman" w:cs="Times New Roman"/>
                <w:szCs w:val="21"/>
              </w:rPr>
            </w:pPr>
            <w:r>
              <w:rPr>
                <w:rFonts w:ascii="Times New Roman" w:hAnsi="Times New Roman" w:cs="Times New Roman"/>
                <w:szCs w:val="21"/>
              </w:rPr>
              <w:t>260397.645</w:t>
            </w:r>
            <w:r>
              <w:rPr>
                <w:rFonts w:ascii="Times New Roman" w:hAnsi="Times New Roman" w:cs="Times New Roman"/>
                <w:szCs w:val="21"/>
              </w:rPr>
              <w:br/>
              <w:t>(197967.684-395429.341)</w:t>
            </w:r>
          </w:p>
        </w:tc>
      </w:tr>
      <w:tr w:rsidR="00EF649D" w14:paraId="2F1E3681" w14:textId="77777777">
        <w:trPr>
          <w:jc w:val="center"/>
        </w:trPr>
        <w:tc>
          <w:tcPr>
            <w:tcW w:w="555" w:type="pct"/>
            <w:tcBorders>
              <w:top w:val="nil"/>
              <w:left w:val="nil"/>
              <w:bottom w:val="nil"/>
              <w:right w:val="nil"/>
            </w:tcBorders>
            <w:tcMar>
              <w:top w:w="-1" w:type="dxa"/>
              <w:left w:w="-1" w:type="dxa"/>
              <w:bottom w:w="-1" w:type="dxa"/>
              <w:right w:w="-1" w:type="dxa"/>
            </w:tcMar>
            <w:vAlign w:val="center"/>
          </w:tcPr>
          <w:p w14:paraId="2F1E367C" w14:textId="77777777" w:rsidR="00EF649D" w:rsidRDefault="00EA0F7C">
            <w:pPr>
              <w:jc w:val="center"/>
              <w:rPr>
                <w:rFonts w:ascii="Times New Roman" w:hAnsi="Times New Roman" w:cs="Times New Roman"/>
              </w:rPr>
            </w:pPr>
            <w:r>
              <w:rPr>
                <w:rFonts w:ascii="Times New Roman" w:hAnsi="Times New Roman" w:cs="Times New Roman"/>
              </w:rPr>
              <w:t>F</w:t>
            </w:r>
            <w:r>
              <w:rPr>
                <w:rFonts w:ascii="Times New Roman" w:hAnsi="Times New Roman" w:cs="Times New Roman"/>
                <w:vertAlign w:val="subscript"/>
              </w:rPr>
              <w:t>MSY</w:t>
            </w:r>
          </w:p>
        </w:tc>
        <w:tc>
          <w:tcPr>
            <w:tcW w:w="1943" w:type="dxa"/>
            <w:tcBorders>
              <w:top w:val="nil"/>
              <w:left w:val="nil"/>
              <w:bottom w:val="nil"/>
              <w:right w:val="nil"/>
            </w:tcBorders>
            <w:tcMar>
              <w:top w:w="-1" w:type="dxa"/>
              <w:left w:w="-1" w:type="dxa"/>
              <w:bottom w:w="-1" w:type="dxa"/>
              <w:right w:w="-1" w:type="dxa"/>
            </w:tcMar>
            <w:vAlign w:val="center"/>
          </w:tcPr>
          <w:p w14:paraId="2F1E367D" w14:textId="77777777" w:rsidR="00EF649D" w:rsidRDefault="00EA0F7C">
            <w:pPr>
              <w:jc w:val="center"/>
              <w:rPr>
                <w:rFonts w:ascii="Times New Roman" w:hAnsi="Times New Roman" w:cs="Times New Roman"/>
                <w:szCs w:val="21"/>
              </w:rPr>
            </w:pPr>
            <w:r>
              <w:rPr>
                <w:rFonts w:ascii="Times New Roman" w:hAnsi="Times New Roman" w:cs="Times New Roman"/>
                <w:szCs w:val="21"/>
              </w:rPr>
              <w:t>0.324</w:t>
            </w:r>
            <w:r>
              <w:rPr>
                <w:rFonts w:ascii="Times New Roman" w:hAnsi="Times New Roman" w:cs="Times New Roman"/>
                <w:szCs w:val="21"/>
              </w:rPr>
              <w:br/>
              <w:t>(0.225-0.480)</w:t>
            </w:r>
          </w:p>
        </w:tc>
        <w:tc>
          <w:tcPr>
            <w:tcW w:w="1943" w:type="dxa"/>
            <w:tcBorders>
              <w:top w:val="nil"/>
              <w:left w:val="nil"/>
              <w:bottom w:val="nil"/>
              <w:right w:val="nil"/>
            </w:tcBorders>
            <w:tcMar>
              <w:top w:w="-1" w:type="dxa"/>
              <w:left w:w="-1" w:type="dxa"/>
              <w:bottom w:w="-1" w:type="dxa"/>
              <w:right w:w="-1" w:type="dxa"/>
            </w:tcMar>
            <w:vAlign w:val="center"/>
          </w:tcPr>
          <w:p w14:paraId="2F1E367E" w14:textId="77777777" w:rsidR="00EF649D" w:rsidRDefault="00EA0F7C">
            <w:pPr>
              <w:jc w:val="center"/>
              <w:rPr>
                <w:rFonts w:ascii="Times New Roman" w:hAnsi="Times New Roman" w:cs="Times New Roman"/>
                <w:szCs w:val="21"/>
              </w:rPr>
            </w:pPr>
            <w:r>
              <w:rPr>
                <w:rFonts w:ascii="Times New Roman" w:hAnsi="Times New Roman" w:cs="Times New Roman"/>
                <w:szCs w:val="21"/>
              </w:rPr>
              <w:t>0.271</w:t>
            </w:r>
            <w:r>
              <w:rPr>
                <w:rFonts w:ascii="Times New Roman" w:hAnsi="Times New Roman" w:cs="Times New Roman"/>
                <w:szCs w:val="21"/>
              </w:rPr>
              <w:br/>
              <w:t>(0.198-0.360)</w:t>
            </w:r>
          </w:p>
        </w:tc>
        <w:tc>
          <w:tcPr>
            <w:tcW w:w="1943" w:type="dxa"/>
            <w:tcBorders>
              <w:top w:val="nil"/>
              <w:left w:val="nil"/>
              <w:bottom w:val="nil"/>
              <w:right w:val="nil"/>
            </w:tcBorders>
            <w:tcMar>
              <w:top w:w="-1" w:type="dxa"/>
              <w:left w:w="-1" w:type="dxa"/>
              <w:bottom w:w="-1" w:type="dxa"/>
              <w:right w:w="-1" w:type="dxa"/>
            </w:tcMar>
            <w:vAlign w:val="center"/>
          </w:tcPr>
          <w:p w14:paraId="2F1E367F" w14:textId="77777777" w:rsidR="00EF649D" w:rsidRDefault="00EA0F7C">
            <w:pPr>
              <w:jc w:val="center"/>
              <w:rPr>
                <w:rFonts w:ascii="Times New Roman" w:hAnsi="Times New Roman" w:cs="Times New Roman"/>
                <w:szCs w:val="21"/>
              </w:rPr>
            </w:pPr>
            <w:r>
              <w:rPr>
                <w:rFonts w:ascii="Times New Roman" w:hAnsi="Times New Roman" w:cs="Times New Roman"/>
                <w:szCs w:val="21"/>
              </w:rPr>
              <w:t>0.263</w:t>
            </w:r>
            <w:r>
              <w:rPr>
                <w:rFonts w:ascii="Times New Roman" w:hAnsi="Times New Roman" w:cs="Times New Roman"/>
                <w:szCs w:val="21"/>
              </w:rPr>
              <w:br/>
              <w:t>(0.192-0.355)</w:t>
            </w:r>
          </w:p>
        </w:tc>
        <w:tc>
          <w:tcPr>
            <w:tcW w:w="1943" w:type="dxa"/>
            <w:tcBorders>
              <w:top w:val="nil"/>
              <w:left w:val="nil"/>
              <w:bottom w:val="nil"/>
              <w:right w:val="nil"/>
            </w:tcBorders>
            <w:tcMar>
              <w:top w:w="-1" w:type="dxa"/>
              <w:left w:w="-1" w:type="dxa"/>
              <w:bottom w:w="-1" w:type="dxa"/>
              <w:right w:w="-1" w:type="dxa"/>
            </w:tcMar>
            <w:vAlign w:val="center"/>
          </w:tcPr>
          <w:p w14:paraId="2F1E3680" w14:textId="77777777" w:rsidR="00EF649D" w:rsidRDefault="00EA0F7C">
            <w:pPr>
              <w:jc w:val="center"/>
              <w:rPr>
                <w:rFonts w:ascii="Times New Roman" w:hAnsi="Times New Roman" w:cs="Times New Roman"/>
                <w:szCs w:val="21"/>
              </w:rPr>
            </w:pPr>
            <w:r>
              <w:rPr>
                <w:rFonts w:ascii="Times New Roman" w:hAnsi="Times New Roman" w:cs="Times New Roman"/>
                <w:szCs w:val="21"/>
              </w:rPr>
              <w:t>0.273</w:t>
            </w:r>
            <w:r>
              <w:rPr>
                <w:rFonts w:ascii="Times New Roman" w:hAnsi="Times New Roman" w:cs="Times New Roman"/>
                <w:szCs w:val="21"/>
              </w:rPr>
              <w:br/>
              <w:t>(0.200-0.357)</w:t>
            </w:r>
          </w:p>
        </w:tc>
      </w:tr>
      <w:tr w:rsidR="00EF649D" w14:paraId="2F1E3687" w14:textId="77777777">
        <w:trPr>
          <w:jc w:val="center"/>
        </w:trPr>
        <w:tc>
          <w:tcPr>
            <w:tcW w:w="555" w:type="pct"/>
            <w:tcBorders>
              <w:top w:val="nil"/>
              <w:left w:val="nil"/>
              <w:bottom w:val="nil"/>
              <w:right w:val="nil"/>
            </w:tcBorders>
            <w:tcMar>
              <w:top w:w="-1" w:type="dxa"/>
              <w:left w:w="-1" w:type="dxa"/>
              <w:bottom w:w="-1" w:type="dxa"/>
              <w:right w:w="-1" w:type="dxa"/>
            </w:tcMar>
            <w:vAlign w:val="center"/>
          </w:tcPr>
          <w:p w14:paraId="2F1E3682" w14:textId="77777777" w:rsidR="00EF649D" w:rsidRDefault="00EA0F7C">
            <w:pPr>
              <w:jc w:val="center"/>
              <w:rPr>
                <w:rFonts w:ascii="Times New Roman" w:hAnsi="Times New Roman" w:cs="Times New Roman"/>
              </w:rPr>
            </w:pPr>
            <w:r>
              <w:rPr>
                <w:rFonts w:ascii="Times New Roman" w:hAnsi="Times New Roman" w:cs="Times New Roman"/>
              </w:rPr>
              <w:t>B</w:t>
            </w:r>
            <w:r>
              <w:rPr>
                <w:rFonts w:ascii="Times New Roman" w:hAnsi="Times New Roman" w:cs="Times New Roman"/>
                <w:vertAlign w:val="subscript"/>
              </w:rPr>
              <w:t>2025</w:t>
            </w:r>
            <w:r>
              <w:rPr>
                <w:rFonts w:ascii="Times New Roman" w:hAnsi="Times New Roman" w:cs="Times New Roman"/>
              </w:rPr>
              <w:t>/B</w:t>
            </w:r>
            <w:r>
              <w:rPr>
                <w:rFonts w:ascii="Times New Roman" w:hAnsi="Times New Roman" w:cs="Times New Roman"/>
                <w:vertAlign w:val="subscript"/>
              </w:rPr>
              <w:t>MSY</w:t>
            </w:r>
          </w:p>
        </w:tc>
        <w:tc>
          <w:tcPr>
            <w:tcW w:w="1943" w:type="dxa"/>
            <w:tcBorders>
              <w:top w:val="nil"/>
              <w:left w:val="nil"/>
              <w:bottom w:val="nil"/>
              <w:right w:val="nil"/>
            </w:tcBorders>
            <w:tcMar>
              <w:top w:w="-1" w:type="dxa"/>
              <w:left w:w="-1" w:type="dxa"/>
              <w:bottom w:w="-1" w:type="dxa"/>
              <w:right w:w="-1" w:type="dxa"/>
            </w:tcMar>
            <w:vAlign w:val="center"/>
          </w:tcPr>
          <w:p w14:paraId="2F1E3683" w14:textId="77777777" w:rsidR="00EF649D" w:rsidRDefault="00EA0F7C">
            <w:pPr>
              <w:jc w:val="center"/>
              <w:rPr>
                <w:rFonts w:ascii="Times New Roman" w:hAnsi="Times New Roman" w:cs="Times New Roman"/>
                <w:szCs w:val="21"/>
              </w:rPr>
            </w:pPr>
            <w:r>
              <w:rPr>
                <w:rFonts w:ascii="Times New Roman" w:hAnsi="Times New Roman" w:cs="Times New Roman"/>
                <w:szCs w:val="21"/>
              </w:rPr>
              <w:t>1.757</w:t>
            </w:r>
            <w:r>
              <w:rPr>
                <w:rFonts w:ascii="Times New Roman" w:hAnsi="Times New Roman" w:cs="Times New Roman"/>
                <w:szCs w:val="21"/>
              </w:rPr>
              <w:br/>
              <w:t>(1.029-2.476)</w:t>
            </w:r>
          </w:p>
        </w:tc>
        <w:tc>
          <w:tcPr>
            <w:tcW w:w="1943" w:type="dxa"/>
            <w:tcBorders>
              <w:top w:val="nil"/>
              <w:left w:val="nil"/>
              <w:bottom w:val="nil"/>
              <w:right w:val="nil"/>
            </w:tcBorders>
            <w:tcMar>
              <w:top w:w="-1" w:type="dxa"/>
              <w:left w:w="-1" w:type="dxa"/>
              <w:bottom w:w="-1" w:type="dxa"/>
              <w:right w:w="-1" w:type="dxa"/>
            </w:tcMar>
            <w:vAlign w:val="center"/>
          </w:tcPr>
          <w:p w14:paraId="2F1E3684" w14:textId="77777777" w:rsidR="00EF649D" w:rsidRDefault="00EA0F7C">
            <w:pPr>
              <w:jc w:val="center"/>
              <w:rPr>
                <w:rFonts w:ascii="Times New Roman" w:hAnsi="Times New Roman" w:cs="Times New Roman"/>
                <w:szCs w:val="21"/>
              </w:rPr>
            </w:pPr>
            <w:r>
              <w:rPr>
                <w:rFonts w:ascii="Times New Roman" w:hAnsi="Times New Roman" w:cs="Times New Roman"/>
                <w:szCs w:val="21"/>
              </w:rPr>
              <w:t>0.279</w:t>
            </w:r>
            <w:r>
              <w:rPr>
                <w:rFonts w:ascii="Times New Roman" w:hAnsi="Times New Roman" w:cs="Times New Roman"/>
                <w:szCs w:val="21"/>
              </w:rPr>
              <w:br/>
              <w:t>(0.178-0.413)</w:t>
            </w:r>
          </w:p>
        </w:tc>
        <w:tc>
          <w:tcPr>
            <w:tcW w:w="1943" w:type="dxa"/>
            <w:tcBorders>
              <w:top w:val="nil"/>
              <w:left w:val="nil"/>
              <w:bottom w:val="nil"/>
              <w:right w:val="nil"/>
            </w:tcBorders>
            <w:tcMar>
              <w:top w:w="-1" w:type="dxa"/>
              <w:left w:w="-1" w:type="dxa"/>
              <w:bottom w:w="-1" w:type="dxa"/>
              <w:right w:w="-1" w:type="dxa"/>
            </w:tcMar>
            <w:vAlign w:val="center"/>
          </w:tcPr>
          <w:p w14:paraId="2F1E3685" w14:textId="77777777" w:rsidR="00EF649D" w:rsidRDefault="00EA0F7C">
            <w:pPr>
              <w:jc w:val="center"/>
              <w:rPr>
                <w:rFonts w:ascii="Times New Roman" w:hAnsi="Times New Roman" w:cs="Times New Roman"/>
                <w:szCs w:val="21"/>
              </w:rPr>
            </w:pPr>
            <w:r>
              <w:rPr>
                <w:rFonts w:ascii="Times New Roman" w:hAnsi="Times New Roman" w:cs="Times New Roman"/>
                <w:szCs w:val="21"/>
              </w:rPr>
              <w:t>0.596</w:t>
            </w:r>
            <w:r>
              <w:rPr>
                <w:rFonts w:ascii="Times New Roman" w:hAnsi="Times New Roman" w:cs="Times New Roman"/>
                <w:szCs w:val="21"/>
              </w:rPr>
              <w:br/>
              <w:t>(0.330-1.078)</w:t>
            </w:r>
          </w:p>
        </w:tc>
        <w:tc>
          <w:tcPr>
            <w:tcW w:w="1943" w:type="dxa"/>
            <w:tcBorders>
              <w:top w:val="nil"/>
              <w:left w:val="nil"/>
              <w:bottom w:val="nil"/>
              <w:right w:val="nil"/>
            </w:tcBorders>
            <w:tcMar>
              <w:top w:w="-1" w:type="dxa"/>
              <w:left w:w="-1" w:type="dxa"/>
              <w:bottom w:w="-1" w:type="dxa"/>
              <w:right w:w="-1" w:type="dxa"/>
            </w:tcMar>
            <w:vAlign w:val="center"/>
          </w:tcPr>
          <w:p w14:paraId="2F1E3686" w14:textId="77777777" w:rsidR="00EF649D" w:rsidRDefault="00EA0F7C">
            <w:pPr>
              <w:jc w:val="center"/>
              <w:rPr>
                <w:rFonts w:ascii="Times New Roman" w:hAnsi="Times New Roman" w:cs="Times New Roman"/>
                <w:szCs w:val="21"/>
              </w:rPr>
            </w:pPr>
            <w:r>
              <w:rPr>
                <w:rFonts w:ascii="Times New Roman" w:hAnsi="Times New Roman" w:cs="Times New Roman"/>
                <w:szCs w:val="21"/>
              </w:rPr>
              <w:t>0.298</w:t>
            </w:r>
            <w:r>
              <w:rPr>
                <w:rFonts w:ascii="Times New Roman" w:hAnsi="Times New Roman" w:cs="Times New Roman"/>
                <w:szCs w:val="21"/>
              </w:rPr>
              <w:br/>
              <w:t>(0.209-0.384)</w:t>
            </w:r>
          </w:p>
        </w:tc>
      </w:tr>
      <w:tr w:rsidR="00EF649D" w14:paraId="2F1E368D" w14:textId="77777777">
        <w:trPr>
          <w:jc w:val="center"/>
        </w:trPr>
        <w:tc>
          <w:tcPr>
            <w:tcW w:w="555" w:type="pct"/>
            <w:tcBorders>
              <w:top w:val="nil"/>
              <w:left w:val="nil"/>
              <w:bottom w:val="single" w:sz="12" w:space="0" w:color="auto"/>
              <w:right w:val="nil"/>
            </w:tcBorders>
            <w:tcMar>
              <w:top w:w="-1" w:type="dxa"/>
              <w:left w:w="-1" w:type="dxa"/>
              <w:bottom w:w="-1" w:type="dxa"/>
              <w:right w:w="-1" w:type="dxa"/>
            </w:tcMar>
            <w:vAlign w:val="center"/>
          </w:tcPr>
          <w:p w14:paraId="2F1E3688" w14:textId="77777777" w:rsidR="00EF649D" w:rsidRDefault="00EA0F7C">
            <w:pPr>
              <w:jc w:val="center"/>
              <w:rPr>
                <w:rFonts w:ascii="Times New Roman" w:hAnsi="Times New Roman" w:cs="Times New Roman"/>
              </w:rPr>
            </w:pPr>
            <w:r>
              <w:rPr>
                <w:rFonts w:ascii="Times New Roman" w:hAnsi="Times New Roman" w:cs="Times New Roman"/>
              </w:rPr>
              <w:t>F</w:t>
            </w:r>
            <w:r>
              <w:rPr>
                <w:rFonts w:ascii="Times New Roman" w:hAnsi="Times New Roman" w:cs="Times New Roman"/>
                <w:vertAlign w:val="subscript"/>
              </w:rPr>
              <w:t>2025</w:t>
            </w:r>
            <w:r>
              <w:rPr>
                <w:rFonts w:ascii="Times New Roman" w:hAnsi="Times New Roman" w:cs="Times New Roman"/>
              </w:rPr>
              <w:t>/F</w:t>
            </w:r>
            <w:r>
              <w:rPr>
                <w:rFonts w:ascii="Times New Roman" w:hAnsi="Times New Roman" w:cs="Times New Roman"/>
                <w:vertAlign w:val="subscript"/>
              </w:rPr>
              <w:t>MSY</w:t>
            </w:r>
          </w:p>
        </w:tc>
        <w:tc>
          <w:tcPr>
            <w:tcW w:w="1943" w:type="dxa"/>
            <w:tcBorders>
              <w:top w:val="nil"/>
              <w:left w:val="nil"/>
              <w:bottom w:val="single" w:sz="12" w:space="0" w:color="auto"/>
              <w:right w:val="nil"/>
            </w:tcBorders>
            <w:tcMar>
              <w:top w:w="-1" w:type="dxa"/>
              <w:left w:w="-1" w:type="dxa"/>
              <w:bottom w:w="-1" w:type="dxa"/>
              <w:right w:w="-1" w:type="dxa"/>
            </w:tcMar>
            <w:vAlign w:val="center"/>
          </w:tcPr>
          <w:p w14:paraId="2F1E3689" w14:textId="77777777" w:rsidR="00EF649D" w:rsidRDefault="00EA0F7C">
            <w:pPr>
              <w:jc w:val="center"/>
              <w:rPr>
                <w:rFonts w:ascii="Times New Roman" w:hAnsi="Times New Roman" w:cs="Times New Roman"/>
                <w:szCs w:val="21"/>
              </w:rPr>
            </w:pPr>
            <w:r>
              <w:rPr>
                <w:rFonts w:ascii="Times New Roman" w:hAnsi="Times New Roman" w:cs="Times New Roman"/>
                <w:szCs w:val="21"/>
              </w:rPr>
              <w:t>0.124</w:t>
            </w:r>
            <w:r>
              <w:rPr>
                <w:rFonts w:ascii="Times New Roman" w:hAnsi="Times New Roman" w:cs="Times New Roman"/>
                <w:szCs w:val="21"/>
              </w:rPr>
              <w:br/>
              <w:t>(0.030-0.297)</w:t>
            </w:r>
          </w:p>
        </w:tc>
        <w:tc>
          <w:tcPr>
            <w:tcW w:w="1943" w:type="dxa"/>
            <w:tcBorders>
              <w:top w:val="nil"/>
              <w:left w:val="nil"/>
              <w:bottom w:val="single" w:sz="12" w:space="0" w:color="auto"/>
              <w:right w:val="nil"/>
            </w:tcBorders>
            <w:tcMar>
              <w:top w:w="-1" w:type="dxa"/>
              <w:left w:w="-1" w:type="dxa"/>
              <w:bottom w:w="-1" w:type="dxa"/>
              <w:right w:w="-1" w:type="dxa"/>
            </w:tcMar>
            <w:vAlign w:val="center"/>
          </w:tcPr>
          <w:p w14:paraId="2F1E368A" w14:textId="77777777" w:rsidR="00EF649D" w:rsidRDefault="00EA0F7C">
            <w:pPr>
              <w:jc w:val="center"/>
              <w:rPr>
                <w:rFonts w:ascii="Times New Roman" w:hAnsi="Times New Roman" w:cs="Times New Roman"/>
                <w:szCs w:val="21"/>
              </w:rPr>
            </w:pPr>
            <w:r>
              <w:rPr>
                <w:rFonts w:ascii="Times New Roman" w:hAnsi="Times New Roman" w:cs="Times New Roman"/>
                <w:szCs w:val="21"/>
              </w:rPr>
              <w:t>0.939</w:t>
            </w:r>
            <w:r>
              <w:rPr>
                <w:rFonts w:ascii="Times New Roman" w:hAnsi="Times New Roman" w:cs="Times New Roman"/>
                <w:szCs w:val="21"/>
              </w:rPr>
              <w:br/>
              <w:t>(0.590-1.513)</w:t>
            </w:r>
          </w:p>
        </w:tc>
        <w:tc>
          <w:tcPr>
            <w:tcW w:w="1943" w:type="dxa"/>
            <w:tcBorders>
              <w:top w:val="nil"/>
              <w:left w:val="nil"/>
              <w:bottom w:val="single" w:sz="12" w:space="0" w:color="auto"/>
              <w:right w:val="nil"/>
            </w:tcBorders>
            <w:tcMar>
              <w:top w:w="-1" w:type="dxa"/>
              <w:left w:w="-1" w:type="dxa"/>
              <w:bottom w:w="-1" w:type="dxa"/>
              <w:right w:w="-1" w:type="dxa"/>
            </w:tcMar>
            <w:vAlign w:val="center"/>
          </w:tcPr>
          <w:p w14:paraId="2F1E368B" w14:textId="77777777" w:rsidR="00EF649D" w:rsidRDefault="00EA0F7C">
            <w:pPr>
              <w:jc w:val="center"/>
              <w:rPr>
                <w:rFonts w:ascii="Times New Roman" w:hAnsi="Times New Roman" w:cs="Times New Roman"/>
                <w:szCs w:val="21"/>
              </w:rPr>
            </w:pPr>
            <w:r>
              <w:rPr>
                <w:rFonts w:ascii="Times New Roman" w:hAnsi="Times New Roman" w:cs="Times New Roman"/>
                <w:szCs w:val="21"/>
              </w:rPr>
              <w:t>0.506</w:t>
            </w:r>
            <w:r>
              <w:rPr>
                <w:rFonts w:ascii="Times New Roman" w:hAnsi="Times New Roman" w:cs="Times New Roman"/>
                <w:szCs w:val="21"/>
              </w:rPr>
              <w:br/>
              <w:t>(0.227-0.901)</w:t>
            </w:r>
          </w:p>
        </w:tc>
        <w:tc>
          <w:tcPr>
            <w:tcW w:w="1943" w:type="dxa"/>
            <w:tcBorders>
              <w:top w:val="nil"/>
              <w:left w:val="nil"/>
              <w:bottom w:val="single" w:sz="12" w:space="0" w:color="auto"/>
              <w:right w:val="nil"/>
            </w:tcBorders>
            <w:tcMar>
              <w:top w:w="-1" w:type="dxa"/>
              <w:left w:w="-1" w:type="dxa"/>
              <w:bottom w:w="-1" w:type="dxa"/>
              <w:right w:w="-1" w:type="dxa"/>
            </w:tcMar>
            <w:vAlign w:val="center"/>
          </w:tcPr>
          <w:p w14:paraId="2F1E368C" w14:textId="77777777" w:rsidR="00EF649D" w:rsidRDefault="00EA0F7C">
            <w:pPr>
              <w:jc w:val="center"/>
              <w:rPr>
                <w:rFonts w:ascii="Times New Roman" w:hAnsi="Times New Roman" w:cs="Times New Roman"/>
                <w:szCs w:val="21"/>
              </w:rPr>
            </w:pPr>
            <w:r>
              <w:rPr>
                <w:rFonts w:ascii="Times New Roman" w:hAnsi="Times New Roman" w:cs="Times New Roman"/>
                <w:szCs w:val="21"/>
              </w:rPr>
              <w:t>0.865</w:t>
            </w:r>
            <w:r>
              <w:rPr>
                <w:rFonts w:ascii="Times New Roman" w:hAnsi="Times New Roman" w:cs="Times New Roman"/>
                <w:szCs w:val="21"/>
              </w:rPr>
              <w:br/>
              <w:t>(0.601-1.221)</w:t>
            </w:r>
          </w:p>
        </w:tc>
      </w:tr>
    </w:tbl>
    <w:p w14:paraId="2F1E368E" w14:textId="77777777" w:rsidR="00EF649D" w:rsidRDefault="00EF649D">
      <w:pPr>
        <w:rPr>
          <w:rFonts w:ascii="Times New Roman" w:hAnsi="Times New Roman" w:cs="Times New Roman"/>
        </w:rPr>
      </w:pPr>
    </w:p>
    <w:p w14:paraId="2F1E368F" w14:textId="77777777" w:rsidR="00EF649D" w:rsidRDefault="00EA0F7C">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5</w:t>
      </w:r>
      <w:r>
        <w:rPr>
          <w:rFonts w:ascii="Times New Roman" w:hAnsi="Times New Roman" w:cs="Times New Roman"/>
          <w:b/>
          <w:bCs/>
        </w:rPr>
        <w:t xml:space="preserve">. </w:t>
      </w:r>
      <w:r>
        <w:rPr>
          <w:rFonts w:ascii="Times New Roman" w:eastAsia="Segoe UI" w:hAnsi="Times New Roman" w:cs="Times New Roman"/>
          <w:color w:val="0F1115"/>
          <w:szCs w:val="21"/>
          <w:shd w:val="clear" w:color="auto" w:fill="FFFFFF"/>
        </w:rPr>
        <w:t>Short-term (202</w:t>
      </w:r>
      <w:r>
        <w:rPr>
          <w:rFonts w:ascii="Times New Roman" w:eastAsia="SimSun" w:hAnsi="Times New Roman" w:cs="Times New Roman" w:hint="eastAsia"/>
          <w:color w:val="0F1115"/>
          <w:szCs w:val="21"/>
          <w:shd w:val="clear" w:color="auto" w:fill="FFFFFF"/>
        </w:rPr>
        <w:t>6</w:t>
      </w:r>
      <w:r>
        <w:rPr>
          <w:rFonts w:ascii="Times New Roman" w:eastAsia="Segoe UI" w:hAnsi="Times New Roman" w:cs="Times New Roman"/>
          <w:color w:val="0F1115"/>
          <w:szCs w:val="21"/>
          <w:shd w:val="clear" w:color="auto" w:fill="FFFFFF"/>
        </w:rPr>
        <w:t>–20</w:t>
      </w:r>
      <w:r>
        <w:rPr>
          <w:rFonts w:ascii="Times New Roman" w:eastAsia="SimSun" w:hAnsi="Times New Roman" w:cs="Times New Roman" w:hint="eastAsia"/>
          <w:color w:val="0F1115"/>
          <w:szCs w:val="21"/>
          <w:shd w:val="clear" w:color="auto" w:fill="FFFFFF"/>
        </w:rPr>
        <w:t>30</w:t>
      </w:r>
      <w:r>
        <w:rPr>
          <w:rFonts w:ascii="Times New Roman" w:eastAsia="Segoe UI" w:hAnsi="Times New Roman" w:cs="Times New Roman"/>
          <w:color w:val="0F1115"/>
          <w:szCs w:val="21"/>
          <w:shd w:val="clear" w:color="auto" w:fill="FFFFFF"/>
        </w:rPr>
        <w:t>) projections for the stock</w:t>
      </w:r>
      <w:r>
        <w:rPr>
          <w:rFonts w:ascii="Times New Roman" w:eastAsia="SimSun" w:hAnsi="Times New Roman" w:cs="Times New Roman" w:hint="eastAsia"/>
          <w:color w:val="0F1115"/>
          <w:szCs w:val="21"/>
          <w:shd w:val="clear" w:color="auto" w:fill="FFFFFF"/>
        </w:rPr>
        <w:t>-wide</w:t>
      </w:r>
      <w:r>
        <w:rPr>
          <w:rFonts w:ascii="Times New Roman" w:eastAsia="Segoe UI" w:hAnsi="Times New Roman" w:cs="Times New Roman"/>
          <w:color w:val="0F1115"/>
          <w:szCs w:val="21"/>
          <w:shd w:val="clear" w:color="auto" w:fill="FFFFFF"/>
        </w:rPr>
        <w:t xml:space="preserve"> under </w:t>
      </w:r>
      <w:r>
        <w:rPr>
          <w:rFonts w:ascii="Times New Roman" w:eastAsia="SimSun" w:hAnsi="Times New Roman" w:cs="Times New Roman" w:hint="eastAsia"/>
          <w:color w:val="0F1115"/>
          <w:szCs w:val="21"/>
          <w:shd w:val="clear" w:color="auto" w:fill="FFFFFF"/>
        </w:rPr>
        <w:t>four</w:t>
      </w:r>
      <w:r>
        <w:rPr>
          <w:rFonts w:ascii="Times New Roman" w:eastAsia="Segoe UI" w:hAnsi="Times New Roman" w:cs="Times New Roman"/>
          <w:color w:val="0F1115"/>
          <w:szCs w:val="21"/>
          <w:shd w:val="clear" w:color="auto" w:fill="FFFFFF"/>
        </w:rPr>
        <w:t xml:space="preserve"> alternative catch scenarios based on the </w:t>
      </w:r>
      <w:r>
        <w:rPr>
          <w:rFonts w:ascii="Times New Roman" w:eastAsia="SimSun" w:hAnsi="Times New Roman" w:cs="Times New Roman" w:hint="eastAsia"/>
          <w:color w:val="0F1115"/>
          <w:szCs w:val="21"/>
          <w:shd w:val="clear" w:color="auto" w:fill="FFFFFF"/>
        </w:rPr>
        <w:t>GAM</w:t>
      </w:r>
      <w:r>
        <w:rPr>
          <w:rFonts w:ascii="Times New Roman" w:eastAsia="Segoe UI" w:hAnsi="Times New Roman" w:cs="Times New Roman"/>
          <w:color w:val="0F1115"/>
          <w:szCs w:val="21"/>
          <w:shd w:val="clear" w:color="auto" w:fill="FFFFFF"/>
        </w:rPr>
        <w:t>-standardized assessment</w:t>
      </w:r>
    </w:p>
    <w:tbl>
      <w:tblPr>
        <w:tblW w:w="4877" w:type="pct"/>
        <w:jc w:val="center"/>
        <w:tblBorders>
          <w:bottom w:val="none" w:sz="12" w:space="0" w:color="000000"/>
          <w:right w:val="none" w:sz="12" w:space="0" w:color="000000"/>
        </w:tblBorders>
        <w:tblCellMar>
          <w:left w:w="0" w:type="dxa"/>
          <w:right w:w="0" w:type="dxa"/>
        </w:tblCellMar>
        <w:tblLook w:val="04A0" w:firstRow="1" w:lastRow="0" w:firstColumn="1" w:lastColumn="0" w:noHBand="0" w:noVBand="1"/>
      </w:tblPr>
      <w:tblGrid>
        <w:gridCol w:w="1275"/>
        <w:gridCol w:w="1299"/>
        <w:gridCol w:w="1291"/>
        <w:gridCol w:w="1257"/>
        <w:gridCol w:w="1186"/>
        <w:gridCol w:w="1794"/>
      </w:tblGrid>
      <w:tr w:rsidR="00EF649D" w14:paraId="2F1E3696" w14:textId="77777777">
        <w:trPr>
          <w:tblHeader/>
          <w:jc w:val="center"/>
        </w:trPr>
        <w:tc>
          <w:tcPr>
            <w:tcW w:w="786" w:type="pct"/>
            <w:tcBorders>
              <w:top w:val="single" w:sz="12" w:space="0" w:color="000000"/>
              <w:left w:val="nil"/>
              <w:bottom w:val="nil"/>
              <w:right w:val="nil"/>
            </w:tcBorders>
            <w:tcMar>
              <w:top w:w="-1" w:type="dxa"/>
              <w:left w:w="-1" w:type="dxa"/>
              <w:bottom w:w="-1" w:type="dxa"/>
              <w:right w:w="-1" w:type="dxa"/>
            </w:tcMar>
            <w:vAlign w:val="center"/>
          </w:tcPr>
          <w:p w14:paraId="2F1E3690"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Strategy</w:t>
            </w:r>
          </w:p>
        </w:tc>
        <w:tc>
          <w:tcPr>
            <w:tcW w:w="801" w:type="pct"/>
            <w:tcBorders>
              <w:top w:val="single" w:sz="12" w:space="0" w:color="000000"/>
              <w:left w:val="nil"/>
              <w:bottom w:val="nil"/>
              <w:right w:val="nil"/>
            </w:tcBorders>
            <w:tcMar>
              <w:top w:w="-1" w:type="dxa"/>
              <w:left w:w="-1" w:type="dxa"/>
              <w:bottom w:w="-1" w:type="dxa"/>
              <w:right w:w="-1" w:type="dxa"/>
            </w:tcMar>
            <w:vAlign w:val="center"/>
          </w:tcPr>
          <w:p w14:paraId="2F1E3691"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Annual catch (tons)</w:t>
            </w:r>
          </w:p>
        </w:tc>
        <w:tc>
          <w:tcPr>
            <w:tcW w:w="796" w:type="pct"/>
            <w:tcBorders>
              <w:top w:val="single" w:sz="12" w:space="0" w:color="000000"/>
              <w:left w:val="nil"/>
              <w:bottom w:val="nil"/>
              <w:right w:val="nil"/>
            </w:tcBorders>
            <w:tcMar>
              <w:top w:w="-1" w:type="dxa"/>
              <w:left w:w="-1" w:type="dxa"/>
              <w:bottom w:w="-1" w:type="dxa"/>
              <w:right w:w="-1" w:type="dxa"/>
            </w:tcMar>
            <w:vAlign w:val="center"/>
          </w:tcPr>
          <w:p w14:paraId="2F1E3692"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B</w:t>
            </w:r>
            <w:r>
              <w:rPr>
                <w:rFonts w:ascii="Times New Roman" w:hAnsi="Times New Roman" w:cs="Times New Roman"/>
                <w:vertAlign w:val="subscript"/>
              </w:rPr>
              <w:t>2030</w:t>
            </w:r>
            <w:r>
              <w:rPr>
                <w:rFonts w:ascii="Times New Roman" w:hAnsi="Times New Roman" w:cs="Times New Roman"/>
              </w:rPr>
              <w:t>/B</w:t>
            </w:r>
            <w:r>
              <w:rPr>
                <w:rFonts w:ascii="Times New Roman" w:hAnsi="Times New Roman" w:cs="Times New Roman"/>
                <w:vertAlign w:val="subscript"/>
              </w:rPr>
              <w:t>MSY</w:t>
            </w:r>
          </w:p>
        </w:tc>
        <w:tc>
          <w:tcPr>
            <w:tcW w:w="776" w:type="pct"/>
            <w:tcBorders>
              <w:top w:val="single" w:sz="12" w:space="0" w:color="000000"/>
              <w:left w:val="nil"/>
              <w:bottom w:val="nil"/>
              <w:right w:val="nil"/>
            </w:tcBorders>
            <w:tcMar>
              <w:top w:w="-1" w:type="dxa"/>
              <w:left w:w="-1" w:type="dxa"/>
              <w:bottom w:w="-1" w:type="dxa"/>
              <w:right w:w="-1" w:type="dxa"/>
            </w:tcMar>
            <w:vAlign w:val="center"/>
          </w:tcPr>
          <w:p w14:paraId="2F1E3693"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F</w:t>
            </w:r>
            <w:r>
              <w:rPr>
                <w:rFonts w:ascii="Times New Roman" w:hAnsi="Times New Roman" w:cs="Times New Roman"/>
                <w:vertAlign w:val="subscript"/>
              </w:rPr>
              <w:t>2030</w:t>
            </w:r>
            <w:r>
              <w:rPr>
                <w:rFonts w:ascii="Times New Roman" w:hAnsi="Times New Roman" w:cs="Times New Roman"/>
              </w:rPr>
              <w:t>/F</w:t>
            </w:r>
            <w:r>
              <w:rPr>
                <w:rFonts w:ascii="Times New Roman" w:hAnsi="Times New Roman" w:cs="Times New Roman"/>
                <w:vertAlign w:val="subscript"/>
              </w:rPr>
              <w:t>MSY</w:t>
            </w:r>
          </w:p>
        </w:tc>
        <w:tc>
          <w:tcPr>
            <w:tcW w:w="732" w:type="pct"/>
            <w:tcBorders>
              <w:top w:val="single" w:sz="12" w:space="0" w:color="000000"/>
              <w:left w:val="nil"/>
              <w:bottom w:val="nil"/>
              <w:right w:val="nil"/>
            </w:tcBorders>
            <w:tcMar>
              <w:top w:w="-1" w:type="dxa"/>
              <w:left w:w="-1" w:type="dxa"/>
              <w:bottom w:w="-1" w:type="dxa"/>
              <w:right w:w="-1" w:type="dxa"/>
            </w:tcMar>
            <w:vAlign w:val="center"/>
          </w:tcPr>
          <w:p w14:paraId="2F1E3694" w14:textId="77777777" w:rsidR="00EF649D" w:rsidRDefault="00EA0F7C">
            <w:pPr>
              <w:pStyle w:val="HTMLPreformatted"/>
              <w:widowControl/>
              <w:wordWrap w:val="0"/>
              <w:snapToGrid w:val="0"/>
              <w:spacing w:line="276" w:lineRule="auto"/>
              <w:jc w:val="center"/>
              <w:rPr>
                <w:rFonts w:ascii="Times New Roman" w:hAnsi="Times New Roman" w:hint="default"/>
              </w:rPr>
            </w:pPr>
            <w:r>
              <w:rPr>
                <w:rFonts w:ascii="Times New Roman" w:eastAsia="Consolas" w:hAnsi="Times New Roman" w:hint="default"/>
                <w:color w:val="000000"/>
                <w:sz w:val="21"/>
                <w:szCs w:val="21"/>
              </w:rPr>
              <w:t>ΔB/B</w:t>
            </w:r>
            <w:r>
              <w:rPr>
                <w:rFonts w:ascii="Times New Roman" w:hAnsi="Times New Roman"/>
                <w:color w:val="000000"/>
                <w:sz w:val="21"/>
                <w:szCs w:val="21"/>
                <w:vertAlign w:val="subscript"/>
              </w:rPr>
              <w:t>MSY</w:t>
            </w:r>
          </w:p>
        </w:tc>
        <w:tc>
          <w:tcPr>
            <w:tcW w:w="1107" w:type="pct"/>
            <w:tcBorders>
              <w:top w:val="single" w:sz="12" w:space="0" w:color="000000"/>
              <w:left w:val="nil"/>
              <w:bottom w:val="nil"/>
              <w:right w:val="nil"/>
            </w:tcBorders>
            <w:tcMar>
              <w:top w:w="-1" w:type="dxa"/>
              <w:left w:w="-1" w:type="dxa"/>
              <w:bottom w:w="-1" w:type="dxa"/>
              <w:right w:w="-1" w:type="dxa"/>
            </w:tcMar>
            <w:vAlign w:val="center"/>
          </w:tcPr>
          <w:p w14:paraId="2F1E3695"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Sustainability status</w:t>
            </w:r>
          </w:p>
        </w:tc>
      </w:tr>
      <w:tr w:rsidR="00EF649D" w14:paraId="2F1E369D" w14:textId="77777777">
        <w:trPr>
          <w:tblHeader/>
          <w:jc w:val="center"/>
        </w:trPr>
        <w:tc>
          <w:tcPr>
            <w:tcW w:w="786" w:type="pct"/>
            <w:tcBorders>
              <w:top w:val="single" w:sz="4" w:space="0" w:color="000000"/>
              <w:left w:val="nil"/>
              <w:bottom w:val="nil"/>
              <w:right w:val="nil"/>
            </w:tcBorders>
            <w:tcMar>
              <w:top w:w="-1" w:type="dxa"/>
              <w:left w:w="-1" w:type="dxa"/>
              <w:bottom w:w="-1" w:type="dxa"/>
              <w:right w:w="-1" w:type="dxa"/>
            </w:tcMar>
            <w:vAlign w:val="center"/>
          </w:tcPr>
          <w:p w14:paraId="2F1E3697"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Low</w:t>
            </w:r>
          </w:p>
        </w:tc>
        <w:tc>
          <w:tcPr>
            <w:tcW w:w="801" w:type="pct"/>
            <w:tcBorders>
              <w:top w:val="single" w:sz="4" w:space="0" w:color="000000"/>
              <w:left w:val="nil"/>
              <w:bottom w:val="nil"/>
              <w:right w:val="nil"/>
            </w:tcBorders>
            <w:tcMar>
              <w:top w:w="-1" w:type="dxa"/>
              <w:left w:w="-1" w:type="dxa"/>
              <w:bottom w:w="-1" w:type="dxa"/>
              <w:right w:w="-1" w:type="dxa"/>
            </w:tcMar>
            <w:vAlign w:val="center"/>
          </w:tcPr>
          <w:p w14:paraId="2F1E3698"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10000</w:t>
            </w:r>
          </w:p>
        </w:tc>
        <w:tc>
          <w:tcPr>
            <w:tcW w:w="796" w:type="pct"/>
            <w:tcBorders>
              <w:top w:val="single" w:sz="4" w:space="0" w:color="000000"/>
              <w:left w:val="nil"/>
              <w:bottom w:val="nil"/>
              <w:right w:val="nil"/>
            </w:tcBorders>
            <w:tcMar>
              <w:top w:w="-1" w:type="dxa"/>
              <w:left w:w="-1" w:type="dxa"/>
              <w:bottom w:w="-1" w:type="dxa"/>
              <w:right w:w="-1" w:type="dxa"/>
            </w:tcMar>
            <w:vAlign w:val="center"/>
          </w:tcPr>
          <w:p w14:paraId="2F1E3699"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1.0255</w:t>
            </w:r>
          </w:p>
        </w:tc>
        <w:tc>
          <w:tcPr>
            <w:tcW w:w="776" w:type="pct"/>
            <w:tcBorders>
              <w:top w:val="single" w:sz="4" w:space="0" w:color="000000"/>
              <w:left w:val="nil"/>
              <w:bottom w:val="nil"/>
              <w:right w:val="nil"/>
            </w:tcBorders>
            <w:tcMar>
              <w:top w:w="-1" w:type="dxa"/>
              <w:left w:w="-1" w:type="dxa"/>
              <w:bottom w:w="-1" w:type="dxa"/>
              <w:right w:w="-1" w:type="dxa"/>
            </w:tcMar>
            <w:vAlign w:val="center"/>
          </w:tcPr>
          <w:p w14:paraId="2F1E369A"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0.1419</w:t>
            </w:r>
          </w:p>
        </w:tc>
        <w:tc>
          <w:tcPr>
            <w:tcW w:w="732" w:type="pct"/>
            <w:tcBorders>
              <w:top w:val="single" w:sz="4" w:space="0" w:color="000000"/>
              <w:left w:val="nil"/>
              <w:bottom w:val="nil"/>
              <w:right w:val="nil"/>
            </w:tcBorders>
            <w:tcMar>
              <w:top w:w="-1" w:type="dxa"/>
              <w:left w:w="-1" w:type="dxa"/>
              <w:bottom w:w="-1" w:type="dxa"/>
              <w:right w:w="-1" w:type="dxa"/>
            </w:tcMar>
            <w:vAlign w:val="center"/>
          </w:tcPr>
          <w:p w14:paraId="2F1E369B"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0.7389</w:t>
            </w:r>
          </w:p>
        </w:tc>
        <w:tc>
          <w:tcPr>
            <w:tcW w:w="1107" w:type="pct"/>
            <w:tcBorders>
              <w:top w:val="single" w:sz="4" w:space="0" w:color="000000"/>
              <w:left w:val="nil"/>
              <w:bottom w:val="nil"/>
              <w:right w:val="nil"/>
            </w:tcBorders>
            <w:tcMar>
              <w:top w:w="-1" w:type="dxa"/>
              <w:left w:w="-1" w:type="dxa"/>
              <w:bottom w:w="-1" w:type="dxa"/>
              <w:right w:w="-1" w:type="dxa"/>
            </w:tcMar>
            <w:vAlign w:val="center"/>
          </w:tcPr>
          <w:p w14:paraId="2F1E369C"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Sustainable</w:t>
            </w:r>
          </w:p>
        </w:tc>
      </w:tr>
      <w:tr w:rsidR="00EF649D" w14:paraId="2F1E36A4" w14:textId="77777777">
        <w:trPr>
          <w:tblHeader/>
          <w:jc w:val="center"/>
        </w:trPr>
        <w:tc>
          <w:tcPr>
            <w:tcW w:w="786" w:type="pct"/>
            <w:tcBorders>
              <w:top w:val="nil"/>
              <w:left w:val="nil"/>
              <w:bottom w:val="nil"/>
              <w:right w:val="nil"/>
            </w:tcBorders>
            <w:tcMar>
              <w:top w:w="-1" w:type="dxa"/>
              <w:left w:w="-1" w:type="dxa"/>
              <w:bottom w:w="-1" w:type="dxa"/>
              <w:right w:w="-1" w:type="dxa"/>
            </w:tcMar>
            <w:vAlign w:val="center"/>
          </w:tcPr>
          <w:p w14:paraId="2F1E369E"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Recent average</w:t>
            </w:r>
          </w:p>
        </w:tc>
        <w:tc>
          <w:tcPr>
            <w:tcW w:w="801" w:type="pct"/>
            <w:tcBorders>
              <w:top w:val="nil"/>
              <w:left w:val="nil"/>
              <w:bottom w:val="nil"/>
              <w:right w:val="nil"/>
            </w:tcBorders>
            <w:tcMar>
              <w:top w:w="-1" w:type="dxa"/>
              <w:left w:w="-1" w:type="dxa"/>
              <w:bottom w:w="-1" w:type="dxa"/>
              <w:right w:w="-1" w:type="dxa"/>
            </w:tcMar>
            <w:vAlign w:val="center"/>
          </w:tcPr>
          <w:p w14:paraId="2F1E369F"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25000</w:t>
            </w:r>
          </w:p>
        </w:tc>
        <w:tc>
          <w:tcPr>
            <w:tcW w:w="796" w:type="pct"/>
            <w:tcBorders>
              <w:top w:val="nil"/>
              <w:left w:val="nil"/>
              <w:bottom w:val="nil"/>
              <w:right w:val="nil"/>
            </w:tcBorders>
            <w:tcMar>
              <w:top w:w="-1" w:type="dxa"/>
              <w:left w:w="-1" w:type="dxa"/>
              <w:bottom w:w="-1" w:type="dxa"/>
              <w:right w:w="-1" w:type="dxa"/>
            </w:tcMar>
            <w:vAlign w:val="center"/>
          </w:tcPr>
          <w:p w14:paraId="2F1E36A0"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0.6968</w:t>
            </w:r>
          </w:p>
        </w:tc>
        <w:tc>
          <w:tcPr>
            <w:tcW w:w="776" w:type="pct"/>
            <w:tcBorders>
              <w:top w:val="nil"/>
              <w:left w:val="nil"/>
              <w:bottom w:val="nil"/>
              <w:right w:val="nil"/>
            </w:tcBorders>
            <w:tcMar>
              <w:top w:w="-1" w:type="dxa"/>
              <w:left w:w="-1" w:type="dxa"/>
              <w:bottom w:w="-1" w:type="dxa"/>
              <w:right w:w="-1" w:type="dxa"/>
            </w:tcMar>
            <w:vAlign w:val="center"/>
          </w:tcPr>
          <w:p w14:paraId="2F1E36A1"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0.5235</w:t>
            </w:r>
          </w:p>
        </w:tc>
        <w:tc>
          <w:tcPr>
            <w:tcW w:w="732" w:type="pct"/>
            <w:tcBorders>
              <w:top w:val="nil"/>
              <w:left w:val="nil"/>
              <w:bottom w:val="nil"/>
              <w:right w:val="nil"/>
            </w:tcBorders>
            <w:tcMar>
              <w:top w:w="-1" w:type="dxa"/>
              <w:left w:w="-1" w:type="dxa"/>
              <w:bottom w:w="-1" w:type="dxa"/>
              <w:right w:w="-1" w:type="dxa"/>
            </w:tcMar>
            <w:vAlign w:val="center"/>
          </w:tcPr>
          <w:p w14:paraId="2F1E36A2"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0.4102</w:t>
            </w:r>
          </w:p>
        </w:tc>
        <w:tc>
          <w:tcPr>
            <w:tcW w:w="1107" w:type="pct"/>
            <w:tcBorders>
              <w:top w:val="nil"/>
              <w:left w:val="nil"/>
              <w:bottom w:val="nil"/>
              <w:right w:val="nil"/>
            </w:tcBorders>
            <w:tcMar>
              <w:top w:w="-1" w:type="dxa"/>
              <w:left w:w="-1" w:type="dxa"/>
              <w:bottom w:w="-1" w:type="dxa"/>
              <w:right w:w="-1" w:type="dxa"/>
            </w:tcMar>
            <w:vAlign w:val="center"/>
          </w:tcPr>
          <w:p w14:paraId="2F1E36A3"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Unsustainable</w:t>
            </w:r>
          </w:p>
        </w:tc>
      </w:tr>
      <w:tr w:rsidR="00EF649D" w14:paraId="2F1E36AB" w14:textId="77777777">
        <w:trPr>
          <w:tblHeader/>
          <w:jc w:val="center"/>
        </w:trPr>
        <w:tc>
          <w:tcPr>
            <w:tcW w:w="786" w:type="pct"/>
            <w:tcBorders>
              <w:top w:val="nil"/>
              <w:left w:val="nil"/>
              <w:bottom w:val="nil"/>
              <w:right w:val="nil"/>
            </w:tcBorders>
            <w:tcMar>
              <w:top w:w="-1" w:type="dxa"/>
              <w:left w:w="-1" w:type="dxa"/>
              <w:bottom w:w="-1" w:type="dxa"/>
              <w:right w:w="-1" w:type="dxa"/>
            </w:tcMar>
            <w:vAlign w:val="center"/>
          </w:tcPr>
          <w:p w14:paraId="2F1E36A5"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Moderately high</w:t>
            </w:r>
          </w:p>
        </w:tc>
        <w:tc>
          <w:tcPr>
            <w:tcW w:w="801" w:type="pct"/>
            <w:tcBorders>
              <w:top w:val="nil"/>
              <w:left w:val="nil"/>
              <w:bottom w:val="nil"/>
              <w:right w:val="nil"/>
            </w:tcBorders>
            <w:tcMar>
              <w:top w:w="-1" w:type="dxa"/>
              <w:left w:w="-1" w:type="dxa"/>
              <w:bottom w:w="-1" w:type="dxa"/>
              <w:right w:w="-1" w:type="dxa"/>
            </w:tcMar>
            <w:vAlign w:val="center"/>
          </w:tcPr>
          <w:p w14:paraId="2F1E36A6"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35000</w:t>
            </w:r>
          </w:p>
        </w:tc>
        <w:tc>
          <w:tcPr>
            <w:tcW w:w="796" w:type="pct"/>
            <w:tcBorders>
              <w:top w:val="nil"/>
              <w:left w:val="nil"/>
              <w:bottom w:val="nil"/>
              <w:right w:val="nil"/>
            </w:tcBorders>
            <w:tcMar>
              <w:top w:w="-1" w:type="dxa"/>
              <w:left w:w="-1" w:type="dxa"/>
              <w:bottom w:w="-1" w:type="dxa"/>
              <w:right w:w="-1" w:type="dxa"/>
            </w:tcMar>
            <w:vAlign w:val="center"/>
          </w:tcPr>
          <w:p w14:paraId="2F1E36A7"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0.4558</w:t>
            </w:r>
          </w:p>
        </w:tc>
        <w:tc>
          <w:tcPr>
            <w:tcW w:w="776" w:type="pct"/>
            <w:tcBorders>
              <w:top w:val="nil"/>
              <w:left w:val="nil"/>
              <w:bottom w:val="nil"/>
              <w:right w:val="nil"/>
            </w:tcBorders>
            <w:tcMar>
              <w:top w:w="-1" w:type="dxa"/>
              <w:left w:w="-1" w:type="dxa"/>
              <w:bottom w:w="-1" w:type="dxa"/>
              <w:right w:w="-1" w:type="dxa"/>
            </w:tcMar>
            <w:vAlign w:val="center"/>
          </w:tcPr>
          <w:p w14:paraId="2F1E36A8"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1.1214</w:t>
            </w:r>
          </w:p>
        </w:tc>
        <w:tc>
          <w:tcPr>
            <w:tcW w:w="732" w:type="pct"/>
            <w:tcBorders>
              <w:top w:val="nil"/>
              <w:left w:val="nil"/>
              <w:bottom w:val="nil"/>
              <w:right w:val="nil"/>
            </w:tcBorders>
            <w:tcMar>
              <w:top w:w="-1" w:type="dxa"/>
              <w:left w:w="-1" w:type="dxa"/>
              <w:bottom w:w="-1" w:type="dxa"/>
              <w:right w:w="-1" w:type="dxa"/>
            </w:tcMar>
            <w:vAlign w:val="center"/>
          </w:tcPr>
          <w:p w14:paraId="2F1E36A9"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0.1692</w:t>
            </w:r>
          </w:p>
        </w:tc>
        <w:tc>
          <w:tcPr>
            <w:tcW w:w="1107" w:type="pct"/>
            <w:tcBorders>
              <w:top w:val="nil"/>
              <w:left w:val="nil"/>
              <w:bottom w:val="nil"/>
              <w:right w:val="nil"/>
            </w:tcBorders>
            <w:tcMar>
              <w:top w:w="-1" w:type="dxa"/>
              <w:left w:w="-1" w:type="dxa"/>
              <w:bottom w:w="-1" w:type="dxa"/>
              <w:right w:w="-1" w:type="dxa"/>
            </w:tcMar>
            <w:vAlign w:val="center"/>
          </w:tcPr>
          <w:p w14:paraId="2F1E36AA"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Unsustainable</w:t>
            </w:r>
          </w:p>
        </w:tc>
      </w:tr>
      <w:tr w:rsidR="00EF649D" w14:paraId="2F1E36B2" w14:textId="77777777">
        <w:trPr>
          <w:tblHeader/>
          <w:jc w:val="center"/>
        </w:trPr>
        <w:tc>
          <w:tcPr>
            <w:tcW w:w="786" w:type="pct"/>
            <w:tcBorders>
              <w:top w:val="nil"/>
              <w:left w:val="nil"/>
              <w:bottom w:val="single" w:sz="12" w:space="0" w:color="000000"/>
              <w:right w:val="nil"/>
            </w:tcBorders>
            <w:tcMar>
              <w:top w:w="-1" w:type="dxa"/>
              <w:left w:w="-1" w:type="dxa"/>
              <w:bottom w:w="-1" w:type="dxa"/>
              <w:right w:w="-1" w:type="dxa"/>
            </w:tcMar>
            <w:vAlign w:val="center"/>
          </w:tcPr>
          <w:p w14:paraId="2F1E36AC"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High</w:t>
            </w:r>
          </w:p>
        </w:tc>
        <w:tc>
          <w:tcPr>
            <w:tcW w:w="801" w:type="pct"/>
            <w:tcBorders>
              <w:top w:val="nil"/>
              <w:left w:val="nil"/>
              <w:bottom w:val="single" w:sz="12" w:space="0" w:color="000000"/>
              <w:right w:val="nil"/>
            </w:tcBorders>
            <w:tcMar>
              <w:top w:w="-1" w:type="dxa"/>
              <w:left w:w="-1" w:type="dxa"/>
              <w:bottom w:w="-1" w:type="dxa"/>
              <w:right w:w="-1" w:type="dxa"/>
            </w:tcMar>
            <w:vAlign w:val="center"/>
          </w:tcPr>
          <w:p w14:paraId="2F1E36AD"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50000</w:t>
            </w:r>
          </w:p>
        </w:tc>
        <w:tc>
          <w:tcPr>
            <w:tcW w:w="796" w:type="pct"/>
            <w:tcBorders>
              <w:top w:val="nil"/>
              <w:left w:val="nil"/>
              <w:bottom w:val="single" w:sz="12" w:space="0" w:color="000000"/>
              <w:right w:val="nil"/>
            </w:tcBorders>
            <w:tcMar>
              <w:top w:w="-1" w:type="dxa"/>
              <w:left w:w="-1" w:type="dxa"/>
              <w:bottom w:w="-1" w:type="dxa"/>
              <w:right w:w="-1" w:type="dxa"/>
            </w:tcMar>
            <w:vAlign w:val="center"/>
          </w:tcPr>
          <w:p w14:paraId="2F1E36AE"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0.0591</w:t>
            </w:r>
          </w:p>
        </w:tc>
        <w:tc>
          <w:tcPr>
            <w:tcW w:w="776" w:type="pct"/>
            <w:tcBorders>
              <w:top w:val="nil"/>
              <w:left w:val="nil"/>
              <w:bottom w:val="single" w:sz="12" w:space="0" w:color="000000"/>
              <w:right w:val="nil"/>
            </w:tcBorders>
            <w:tcMar>
              <w:top w:w="-1" w:type="dxa"/>
              <w:left w:w="-1" w:type="dxa"/>
              <w:bottom w:w="-1" w:type="dxa"/>
              <w:right w:w="-1" w:type="dxa"/>
            </w:tcMar>
            <w:vAlign w:val="center"/>
          </w:tcPr>
          <w:p w14:paraId="2F1E36AF"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&gt;10</w:t>
            </w:r>
          </w:p>
        </w:tc>
        <w:tc>
          <w:tcPr>
            <w:tcW w:w="732" w:type="pct"/>
            <w:tcBorders>
              <w:top w:val="nil"/>
              <w:left w:val="nil"/>
              <w:bottom w:val="single" w:sz="12" w:space="0" w:color="000000"/>
              <w:right w:val="nil"/>
            </w:tcBorders>
            <w:tcMar>
              <w:top w:w="-1" w:type="dxa"/>
              <w:left w:w="-1" w:type="dxa"/>
              <w:bottom w:w="-1" w:type="dxa"/>
              <w:right w:w="-1" w:type="dxa"/>
            </w:tcMar>
            <w:vAlign w:val="center"/>
          </w:tcPr>
          <w:p w14:paraId="2F1E36B0"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-0.2275</w:t>
            </w:r>
          </w:p>
        </w:tc>
        <w:tc>
          <w:tcPr>
            <w:tcW w:w="1107" w:type="pct"/>
            <w:tcBorders>
              <w:top w:val="nil"/>
              <w:left w:val="nil"/>
              <w:bottom w:val="single" w:sz="12" w:space="0" w:color="000000"/>
              <w:right w:val="nil"/>
            </w:tcBorders>
            <w:tcMar>
              <w:top w:w="-1" w:type="dxa"/>
              <w:left w:w="-1" w:type="dxa"/>
              <w:bottom w:w="-1" w:type="dxa"/>
              <w:right w:w="-1" w:type="dxa"/>
            </w:tcMar>
            <w:vAlign w:val="center"/>
          </w:tcPr>
          <w:p w14:paraId="2F1E36B1" w14:textId="77777777" w:rsidR="00EF649D" w:rsidRDefault="00EA0F7C">
            <w:pPr>
              <w:snapToGrid w:val="0"/>
              <w:spacing w:line="276" w:lineRule="auto"/>
              <w:jc w:val="center"/>
              <w:rPr>
                <w:rFonts w:ascii="Times New Roman" w:hAnsi="Times New Roman" w:cs="Times New Roman"/>
              </w:rPr>
            </w:pPr>
            <w:r>
              <w:rPr>
                <w:rFonts w:ascii="Times New Roman" w:hAnsi="Times New Roman" w:cs="Times New Roman"/>
              </w:rPr>
              <w:t>Unsustainable</w:t>
            </w:r>
          </w:p>
        </w:tc>
      </w:tr>
    </w:tbl>
    <w:p w14:paraId="2F1E36B3" w14:textId="77777777" w:rsidR="00EF649D" w:rsidRDefault="00EF649D">
      <w:pPr>
        <w:rPr>
          <w:rFonts w:ascii="Times New Roman" w:hAnsi="Times New Roman" w:cs="Times New Roman"/>
        </w:rPr>
      </w:pPr>
    </w:p>
    <w:p w14:paraId="2F1E36B4" w14:textId="77777777" w:rsidR="00EF649D" w:rsidRDefault="00EF649D">
      <w:pPr>
        <w:rPr>
          <w:rFonts w:ascii="Times New Roman" w:hAnsi="Times New Roman" w:cs="Times New Roman"/>
        </w:rPr>
      </w:pPr>
    </w:p>
    <w:p w14:paraId="2F1E36B5" w14:textId="77777777" w:rsidR="00EF649D" w:rsidRDefault="00EA0F7C">
      <w:pPr>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2F1E36DE" wp14:editId="2F1E36DF">
            <wp:extent cx="5091430" cy="3308985"/>
            <wp:effectExtent l="0" t="0" r="13970" b="5715"/>
            <wp:docPr id="1" name="图片 1" descr="Global_Catch_FishingDays_20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lobal_Catch_FishingDays_2005-2025"/>
                    <pic:cNvPicPr>
                      <a:picLocks noChangeAspect="1"/>
                    </pic:cNvPicPr>
                  </pic:nvPicPr>
                  <pic:blipFill>
                    <a:blip r:embed="rId6"/>
                    <a:stretch>
                      <a:fillRect/>
                    </a:stretch>
                  </pic:blipFill>
                  <pic:spPr>
                    <a:xfrm>
                      <a:off x="0" y="0"/>
                      <a:ext cx="5091430" cy="3308985"/>
                    </a:xfrm>
                    <a:prstGeom prst="rect">
                      <a:avLst/>
                    </a:prstGeom>
                  </pic:spPr>
                </pic:pic>
              </a:graphicData>
            </a:graphic>
          </wp:inline>
        </w:drawing>
      </w:r>
    </w:p>
    <w:p w14:paraId="2F1E36B6" w14:textId="77777777" w:rsidR="00EF649D" w:rsidRDefault="00EA0F7C">
      <w:pPr>
        <w:rPr>
          <w:rFonts w:ascii="Times New Roman" w:hAnsi="Times New Roman" w:cs="Times New Roman"/>
          <w:szCs w:val="21"/>
        </w:rPr>
      </w:pPr>
      <w:r>
        <w:rPr>
          <w:rFonts w:ascii="Times New Roman" w:hAnsi="Times New Roman" w:cs="Times New Roman"/>
          <w:b/>
          <w:bCs/>
        </w:rPr>
        <w:t>Fig.</w:t>
      </w:r>
      <w:r>
        <w:rPr>
          <w:rFonts w:ascii="Times New Roman" w:hAnsi="Times New Roman" w:cs="Times New Roman" w:hint="eastAsia"/>
          <w:b/>
          <w:bCs/>
        </w:rPr>
        <w:t xml:space="preserve"> </w:t>
      </w:r>
      <w:r>
        <w:rPr>
          <w:rFonts w:ascii="Times New Roman" w:hAnsi="Times New Roman" w:cs="Times New Roman"/>
          <w:b/>
          <w:bCs/>
        </w:rPr>
        <w:t>1</w:t>
      </w:r>
      <w:r>
        <w:rPr>
          <w:rFonts w:ascii="Times New Roman" w:hAnsi="Times New Roman" w:cs="Times New Roman"/>
        </w:rPr>
        <w:t xml:space="preserve"> </w:t>
      </w:r>
      <w:r>
        <w:rPr>
          <w:rFonts w:ascii="Times New Roman" w:eastAsia="Segoe UI" w:hAnsi="Times New Roman" w:cs="Times New Roman"/>
          <w:color w:val="0F1115"/>
          <w:szCs w:val="21"/>
          <w:shd w:val="clear" w:color="auto" w:fill="FFFFFF"/>
        </w:rPr>
        <w:t xml:space="preserve">Annual catch and fishing effort (fishing days) of neon flying squid in the Northwest Pacific Ocean based on NPFC-compiled data from </w:t>
      </w:r>
      <w:r>
        <w:rPr>
          <w:rFonts w:ascii="Times New Roman" w:eastAsia="SimSun" w:hAnsi="Times New Roman" w:cs="Times New Roman" w:hint="eastAsia"/>
          <w:color w:val="0F1115"/>
          <w:szCs w:val="21"/>
          <w:shd w:val="clear" w:color="auto" w:fill="FFFFFF"/>
        </w:rPr>
        <w:t>all members</w:t>
      </w:r>
      <w:r>
        <w:rPr>
          <w:rFonts w:ascii="Times New Roman" w:eastAsia="Segoe UI" w:hAnsi="Times New Roman" w:cs="Times New Roman"/>
          <w:color w:val="0F1115"/>
          <w:szCs w:val="21"/>
          <w:shd w:val="clear" w:color="auto" w:fill="FFFFFF"/>
        </w:rPr>
        <w:t>, 2005–202</w:t>
      </w:r>
      <w:r>
        <w:rPr>
          <w:rFonts w:ascii="Times New Roman" w:eastAsia="SimSun" w:hAnsi="Times New Roman" w:cs="Times New Roman" w:hint="eastAsia"/>
          <w:color w:val="0F1115"/>
          <w:szCs w:val="21"/>
          <w:shd w:val="clear" w:color="auto" w:fill="FFFFFF"/>
        </w:rPr>
        <w:t>5</w:t>
      </w:r>
      <w:r>
        <w:rPr>
          <w:rFonts w:ascii="Times New Roman" w:eastAsia="Segoe UI" w:hAnsi="Times New Roman" w:cs="Times New Roman"/>
          <w:color w:val="0F1115"/>
          <w:szCs w:val="21"/>
          <w:shd w:val="clear" w:color="auto" w:fill="FFFFFF"/>
        </w:rPr>
        <w:t>.</w:t>
      </w:r>
    </w:p>
    <w:p w14:paraId="2F1E36B7" w14:textId="77777777" w:rsidR="00EF649D" w:rsidRDefault="00EF649D">
      <w:pPr>
        <w:rPr>
          <w:rFonts w:ascii="Times New Roman" w:hAnsi="Times New Roman" w:cs="Times New Roman"/>
        </w:rPr>
      </w:pPr>
    </w:p>
    <w:p w14:paraId="2F1E36B8" w14:textId="77777777" w:rsidR="00EF649D" w:rsidRDefault="00EF649D">
      <w:pPr>
        <w:rPr>
          <w:rFonts w:ascii="Times New Roman" w:hAnsi="Times New Roman" w:cs="Times New Roman"/>
        </w:rPr>
      </w:pPr>
    </w:p>
    <w:p w14:paraId="2F1E36B9"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E0" wp14:editId="2F1E36E1">
            <wp:extent cx="5232400" cy="3924300"/>
            <wp:effectExtent l="0" t="0" r="6350" b="0"/>
            <wp:docPr id="8" name="图片 8" descr="Nominal_vs_GAM_RF_GBM_expanded_grid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Nominal_vs_GAM_RF_GBM_expanded_grid_2005_2025"/>
                    <pic:cNvPicPr>
                      <a:picLocks noChangeAspect="1"/>
                    </pic:cNvPicPr>
                  </pic:nvPicPr>
                  <pic:blipFill>
                    <a:blip r:embed="rId7"/>
                    <a:stretch>
                      <a:fillRect/>
                    </a:stretch>
                  </pic:blipFill>
                  <pic:spPr>
                    <a:xfrm>
                      <a:off x="0" y="0"/>
                      <a:ext cx="5232400" cy="3924300"/>
                    </a:xfrm>
                    <a:prstGeom prst="rect">
                      <a:avLst/>
                    </a:prstGeom>
                  </pic:spPr>
                </pic:pic>
              </a:graphicData>
            </a:graphic>
          </wp:inline>
        </w:drawing>
      </w:r>
    </w:p>
    <w:p w14:paraId="2F1E36BA" w14:textId="77777777" w:rsidR="00EF649D" w:rsidRDefault="00EA0F7C">
      <w:pPr>
        <w:rPr>
          <w:rFonts w:ascii="SimSun" w:eastAsia="SimSun" w:hAnsi="SimSun" w:cs="SimSun"/>
          <w:sz w:val="24"/>
        </w:rPr>
      </w:pPr>
      <w:r>
        <w:rPr>
          <w:rFonts w:ascii="Times New Roman" w:hAnsi="Times New Roman" w:cs="Times New Roman"/>
          <w:b/>
          <w:bCs/>
          <w:szCs w:val="21"/>
        </w:rPr>
        <w:t xml:space="preserve">Fig. </w:t>
      </w:r>
      <w:r>
        <w:rPr>
          <w:rFonts w:ascii="Times New Roman" w:hAnsi="Times New Roman" w:cs="Times New Roman" w:hint="eastAsia"/>
          <w:b/>
          <w:bCs/>
          <w:szCs w:val="21"/>
        </w:rPr>
        <w:t>2</w:t>
      </w:r>
      <w:r>
        <w:rPr>
          <w:rFonts w:ascii="Times New Roman" w:hAnsi="Times New Roman" w:cs="Times New Roman"/>
          <w:szCs w:val="21"/>
        </w:rPr>
        <w:t xml:space="preserve"> Comparison of nominal and standardized CPUE indices for the winter-spring cohort, autumn cohort, and stock-wide of neon flying squid derived from three modeling approaches.</w:t>
      </w:r>
    </w:p>
    <w:p w14:paraId="2F1E36BB" w14:textId="77777777" w:rsidR="00EF649D" w:rsidRDefault="00EA0F7C">
      <w:pPr>
        <w:jc w:val="cente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2F1E36E2" wp14:editId="2F1E36E3">
            <wp:extent cx="5149215" cy="3706495"/>
            <wp:effectExtent l="0" t="0" r="13335" b="8255"/>
            <wp:docPr id="11" name="图片 11" descr="SW_GAM_mc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W_GAM_mcmc"/>
                    <pic:cNvPicPr>
                      <a:picLocks noChangeAspect="1"/>
                    </pic:cNvPicPr>
                  </pic:nvPicPr>
                  <pic:blipFill>
                    <a:blip r:embed="rId8"/>
                    <a:stretch>
                      <a:fillRect/>
                    </a:stretch>
                  </pic:blipFill>
                  <pic:spPr>
                    <a:xfrm>
                      <a:off x="0" y="0"/>
                      <a:ext cx="5149215" cy="3706495"/>
                    </a:xfrm>
                    <a:prstGeom prst="rect">
                      <a:avLst/>
                    </a:prstGeom>
                  </pic:spPr>
                </pic:pic>
              </a:graphicData>
            </a:graphic>
          </wp:inline>
        </w:drawing>
      </w:r>
    </w:p>
    <w:p w14:paraId="2F1E36BC" w14:textId="77777777" w:rsidR="00EF649D" w:rsidRDefault="00EA0F7C">
      <w:pPr>
        <w:rPr>
          <w:rFonts w:ascii="Times New Roman" w:eastAsia="Segoe UI" w:hAnsi="Times New Roman" w:cs="Times New Roman"/>
          <w:color w:val="0F1115"/>
          <w:szCs w:val="21"/>
          <w:shd w:val="clear" w:color="auto" w:fill="FFFFFF"/>
        </w:rPr>
      </w:pPr>
      <w:r>
        <w:rPr>
          <w:rFonts w:ascii="Times New Roman" w:hAnsi="Times New Roman" w:cs="Times New Roman"/>
          <w:b/>
          <w:bCs/>
          <w:szCs w:val="21"/>
        </w:rPr>
        <w:t>Fig</w:t>
      </w:r>
      <w:r>
        <w:rPr>
          <w:rFonts w:ascii="Times New Roman" w:hAnsi="Times New Roman" w:cs="Times New Roman" w:hint="eastAsia"/>
          <w:b/>
          <w:bCs/>
          <w:szCs w:val="21"/>
        </w:rPr>
        <w:t>. 3</w:t>
      </w:r>
      <w:r>
        <w:rPr>
          <w:rFonts w:ascii="Times New Roman" w:hAnsi="Times New Roman" w:cs="Times New Roman"/>
          <w:b/>
          <w:bCs/>
          <w:szCs w:val="21"/>
        </w:rPr>
        <w:t xml:space="preserve"> </w:t>
      </w:r>
      <w:r>
        <w:rPr>
          <w:rFonts w:ascii="Times New Roman" w:eastAsia="Segoe UI" w:hAnsi="Times New Roman" w:cs="Times New Roman"/>
          <w:color w:val="0F1115"/>
          <w:szCs w:val="21"/>
          <w:shd w:val="clear" w:color="auto" w:fill="FFFFFF"/>
        </w:rPr>
        <w:t xml:space="preserve">MCMC convergence diagnostics for the stock-wide assessment using </w:t>
      </w:r>
      <w:r>
        <w:rPr>
          <w:rFonts w:ascii="Times New Roman" w:eastAsia="SimSun" w:hAnsi="Times New Roman" w:cs="Times New Roman" w:hint="eastAsia"/>
          <w:color w:val="0F1115"/>
          <w:szCs w:val="21"/>
          <w:shd w:val="clear" w:color="auto" w:fill="FFFFFF"/>
        </w:rPr>
        <w:t>GAM</w:t>
      </w:r>
      <w:r>
        <w:rPr>
          <w:rFonts w:ascii="Times New Roman" w:eastAsia="Segoe UI" w:hAnsi="Times New Roman" w:cs="Times New Roman"/>
          <w:color w:val="0F1115"/>
          <w:szCs w:val="21"/>
          <w:shd w:val="clear" w:color="auto" w:fill="FFFFFF"/>
        </w:rPr>
        <w:t>-standardized CPUE.</w:t>
      </w:r>
    </w:p>
    <w:p w14:paraId="2F1E36BD" w14:textId="77777777" w:rsidR="00EF649D" w:rsidRDefault="00EF649D">
      <w:pPr>
        <w:rPr>
          <w:rFonts w:ascii="SimSun" w:eastAsia="SimSun" w:hAnsi="SimSun" w:cs="SimSun"/>
          <w:sz w:val="24"/>
        </w:rPr>
      </w:pPr>
    </w:p>
    <w:p w14:paraId="2F1E36BE"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E4" wp14:editId="2F1E36E5">
            <wp:extent cx="5273675" cy="3595370"/>
            <wp:effectExtent l="0" t="0" r="3175" b="5080"/>
            <wp:docPr id="23" name="图片 23" descr="SW_GAM_ppd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W_GAM_ppdist"/>
                    <pic:cNvPicPr>
                      <a:picLocks noChangeAspect="1"/>
                    </pic:cNvPicPr>
                  </pic:nvPicPr>
                  <pic:blipFill>
                    <a:blip r:embed="rId9"/>
                    <a:stretch>
                      <a:fillRect/>
                    </a:stretch>
                  </pic:blipFill>
                  <pic:spPr>
                    <a:xfrm>
                      <a:off x="0" y="0"/>
                      <a:ext cx="5273675" cy="3595370"/>
                    </a:xfrm>
                    <a:prstGeom prst="rect">
                      <a:avLst/>
                    </a:prstGeom>
                  </pic:spPr>
                </pic:pic>
              </a:graphicData>
            </a:graphic>
          </wp:inline>
        </w:drawing>
      </w:r>
    </w:p>
    <w:p w14:paraId="2F1E36BF" w14:textId="77777777" w:rsidR="00EF649D" w:rsidRDefault="00EA0F7C">
      <w:pPr>
        <w:rPr>
          <w:rFonts w:ascii="SimSun" w:eastAsia="SimSun" w:hAnsi="SimSun" w:cs="SimSun"/>
          <w:sz w:val="24"/>
        </w:rPr>
      </w:pPr>
      <w:r>
        <w:rPr>
          <w:rFonts w:ascii="Times New Roman" w:hAnsi="Times New Roman" w:cs="Times New Roman"/>
          <w:b/>
          <w:bCs/>
        </w:rPr>
        <w:t xml:space="preserve">Fig. </w:t>
      </w:r>
      <w:r>
        <w:rPr>
          <w:rFonts w:ascii="Times New Roman" w:hAnsi="Times New Roman" w:cs="Times New Roman" w:hint="eastAsia"/>
          <w:b/>
          <w:bCs/>
        </w:rPr>
        <w:t>4</w:t>
      </w:r>
      <w:r>
        <w:rPr>
          <w:rFonts w:ascii="Times New Roman" w:hAnsi="Times New Roman" w:cs="Times New Roman"/>
        </w:rPr>
        <w:t xml:space="preserve"> Prior and posterior distributions of key parameters for the base-case scenario (stock-wide, </w:t>
      </w:r>
      <w:r>
        <w:rPr>
          <w:rFonts w:ascii="Times New Roman" w:hAnsi="Times New Roman" w:cs="Times New Roman" w:hint="eastAsia"/>
        </w:rPr>
        <w:t>GAM</w:t>
      </w:r>
      <w:r>
        <w:rPr>
          <w:rFonts w:ascii="Times New Roman" w:hAnsi="Times New Roman" w:cs="Times New Roman"/>
        </w:rPr>
        <w:t>-standardized CPUE).</w:t>
      </w:r>
    </w:p>
    <w:p w14:paraId="2F1E36C0" w14:textId="77777777" w:rsidR="00EF649D" w:rsidRDefault="00EF649D">
      <w:pPr>
        <w:rPr>
          <w:rFonts w:ascii="SimSun" w:eastAsia="SimSun" w:hAnsi="SimSun" w:cs="SimSun"/>
          <w:sz w:val="24"/>
        </w:rPr>
      </w:pPr>
    </w:p>
    <w:p w14:paraId="2F1E36C1" w14:textId="77777777" w:rsidR="00EF649D" w:rsidRDefault="00EA0F7C">
      <w:pPr>
        <w:jc w:val="cente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2F1E36E6" wp14:editId="2F1E36E7">
            <wp:extent cx="5015230" cy="3900805"/>
            <wp:effectExtent l="0" t="0" r="13970" b="4445"/>
            <wp:docPr id="24" name="图片 24" descr="SW_GAM_cpu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W_GAM_cpuefits"/>
                    <pic:cNvPicPr>
                      <a:picLocks noChangeAspect="1"/>
                    </pic:cNvPicPr>
                  </pic:nvPicPr>
                  <pic:blipFill>
                    <a:blip r:embed="rId10"/>
                    <a:stretch>
                      <a:fillRect/>
                    </a:stretch>
                  </pic:blipFill>
                  <pic:spPr>
                    <a:xfrm>
                      <a:off x="0" y="0"/>
                      <a:ext cx="5015230" cy="3900805"/>
                    </a:xfrm>
                    <a:prstGeom prst="rect">
                      <a:avLst/>
                    </a:prstGeom>
                  </pic:spPr>
                </pic:pic>
              </a:graphicData>
            </a:graphic>
          </wp:inline>
        </w:drawing>
      </w:r>
    </w:p>
    <w:p w14:paraId="2F1E36C2"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w:t>
      </w:r>
      <w:r>
        <w:rPr>
          <w:rFonts w:ascii="Times New Roman" w:hAnsi="Times New Roman" w:cs="Times New Roman"/>
          <w:b/>
          <w:bCs/>
        </w:rPr>
        <w:t>5</w:t>
      </w:r>
      <w:r>
        <w:rPr>
          <w:rFonts w:ascii="Times New Roman" w:hAnsi="Times New Roman" w:cs="Times New Roman"/>
        </w:rPr>
        <w:t xml:space="preserve"> Observed and predicted CPUE from the JABBA base-case model</w:t>
      </w:r>
      <w:r>
        <w:rPr>
          <w:rFonts w:ascii="Times New Roman" w:hAnsi="Times New Roman" w:cs="Times New Roman" w:hint="eastAsia"/>
        </w:rPr>
        <w:t>.</w:t>
      </w:r>
    </w:p>
    <w:p w14:paraId="2F1E36C3" w14:textId="77777777" w:rsidR="00EF649D" w:rsidRDefault="00EF649D">
      <w:pPr>
        <w:rPr>
          <w:rFonts w:ascii="Times New Roman" w:hAnsi="Times New Roman" w:cs="Times New Roman"/>
        </w:rPr>
      </w:pPr>
    </w:p>
    <w:p w14:paraId="2F1E36C4"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E8" wp14:editId="2F1E36E9">
            <wp:extent cx="5076190" cy="3948430"/>
            <wp:effectExtent l="0" t="0" r="10160" b="13970"/>
            <wp:docPr id="15" name="图片 15" descr="SW_GAM_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W_GAM_residuals"/>
                    <pic:cNvPicPr>
                      <a:picLocks noChangeAspect="1"/>
                    </pic:cNvPicPr>
                  </pic:nvPicPr>
                  <pic:blipFill>
                    <a:blip r:embed="rId11"/>
                    <a:stretch>
                      <a:fillRect/>
                    </a:stretch>
                  </pic:blipFill>
                  <pic:spPr>
                    <a:xfrm>
                      <a:off x="0" y="0"/>
                      <a:ext cx="5076190" cy="3948430"/>
                    </a:xfrm>
                    <a:prstGeom prst="rect">
                      <a:avLst/>
                    </a:prstGeom>
                  </pic:spPr>
                </pic:pic>
              </a:graphicData>
            </a:graphic>
          </wp:inline>
        </w:drawing>
      </w:r>
    </w:p>
    <w:p w14:paraId="2F1E36C5" w14:textId="77777777" w:rsidR="00EF649D" w:rsidRDefault="00EA0F7C">
      <w:pPr>
        <w:rPr>
          <w:rFonts w:ascii="SimSun" w:eastAsia="SimSun" w:hAnsi="SimSun" w:cs="SimSun"/>
          <w:sz w:val="24"/>
        </w:rPr>
      </w:pPr>
      <w:r>
        <w:rPr>
          <w:rFonts w:ascii="Times New Roman" w:hAnsi="Times New Roman" w:cs="Times New Roman"/>
          <w:b/>
          <w:bCs/>
          <w:szCs w:val="21"/>
        </w:rPr>
        <w:t>Fig.</w:t>
      </w:r>
      <w:r>
        <w:rPr>
          <w:rFonts w:ascii="Times New Roman" w:hAnsi="Times New Roman" w:cs="Times New Roman" w:hint="eastAsia"/>
          <w:b/>
          <w:bCs/>
          <w:szCs w:val="21"/>
        </w:rPr>
        <w:t xml:space="preserve"> </w:t>
      </w:r>
      <w:r>
        <w:rPr>
          <w:rFonts w:ascii="Times New Roman" w:hAnsi="Times New Roman" w:cs="Times New Roman"/>
          <w:b/>
          <w:bCs/>
          <w:szCs w:val="21"/>
        </w:rPr>
        <w:t>6</w:t>
      </w:r>
      <w:r>
        <w:rPr>
          <w:rFonts w:ascii="Times New Roman" w:hAnsi="Times New Roman" w:cs="Times New Roman"/>
          <w:szCs w:val="21"/>
        </w:rPr>
        <w:t xml:space="preserve"> </w:t>
      </w:r>
      <w:r>
        <w:rPr>
          <w:rFonts w:ascii="Times New Roman" w:eastAsia="Segoe UI" w:hAnsi="Times New Roman" w:cs="Times New Roman"/>
          <w:color w:val="0F1115"/>
          <w:szCs w:val="21"/>
          <w:shd w:val="clear" w:color="auto" w:fill="FFFFFF"/>
        </w:rPr>
        <w:t xml:space="preserve">Standardized residual diagnostics </w:t>
      </w:r>
      <w:r>
        <w:rPr>
          <w:rFonts w:ascii="Times New Roman" w:hAnsi="Times New Roman" w:cs="Times New Roman"/>
          <w:szCs w:val="21"/>
        </w:rPr>
        <w:t xml:space="preserve">for the stock-wide assessment based on </w:t>
      </w:r>
      <w:r>
        <w:rPr>
          <w:rFonts w:ascii="Times New Roman" w:hAnsi="Times New Roman" w:cs="Times New Roman" w:hint="eastAsia"/>
        </w:rPr>
        <w:lastRenderedPageBreak/>
        <w:t>GAM</w:t>
      </w:r>
      <w:r>
        <w:rPr>
          <w:rFonts w:ascii="Times New Roman" w:hAnsi="Times New Roman" w:cs="Times New Roman"/>
        </w:rPr>
        <w:t>-standardized CPUE</w:t>
      </w:r>
      <w:r>
        <w:rPr>
          <w:rFonts w:ascii="Times New Roman" w:hAnsi="Times New Roman" w:cs="Times New Roman"/>
          <w:szCs w:val="21"/>
        </w:rPr>
        <w:t>.</w:t>
      </w:r>
    </w:p>
    <w:p w14:paraId="2F1E36C6"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EA" wp14:editId="2F1E36EB">
            <wp:extent cx="5269865" cy="2553335"/>
            <wp:effectExtent l="0" t="0" r="0" b="0"/>
            <wp:docPr id="17" name="图片 17" descr="WinterSpring_BBmsy_FFmsy_four_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WinterSpring_BBmsy_FFmsy_four_models"/>
                    <pic:cNvPicPr>
                      <a:picLocks noChangeAspect="1"/>
                    </pic:cNvPicPr>
                  </pic:nvPicPr>
                  <pic:blipFill>
                    <a:blip r:embed="rId12"/>
                    <a:srcRect t="3108"/>
                    <a:stretch>
                      <a:fillRect/>
                    </a:stretch>
                  </pic:blipFill>
                  <pic:spPr>
                    <a:xfrm>
                      <a:off x="0" y="0"/>
                      <a:ext cx="5269865" cy="2553335"/>
                    </a:xfrm>
                    <a:prstGeom prst="rect">
                      <a:avLst/>
                    </a:prstGeom>
                  </pic:spPr>
                </pic:pic>
              </a:graphicData>
            </a:graphic>
          </wp:inline>
        </w:drawing>
      </w:r>
    </w:p>
    <w:p w14:paraId="2F1E36C7" w14:textId="77777777" w:rsidR="00EF649D" w:rsidRDefault="00EA0F7C">
      <w:pPr>
        <w:rPr>
          <w:rFonts w:ascii="SimSun" w:eastAsia="SimSun" w:hAnsi="SimSun" w:cs="SimSun"/>
          <w:sz w:val="24"/>
        </w:rPr>
      </w:pPr>
      <w:r>
        <w:rPr>
          <w:rFonts w:ascii="Times New Roman" w:hAnsi="Times New Roman" w:cs="Times New Roman"/>
          <w:b/>
          <w:bCs/>
          <w:szCs w:val="21"/>
        </w:rPr>
        <w:t>Fig</w:t>
      </w:r>
      <w:r>
        <w:rPr>
          <w:rFonts w:ascii="Times New Roman" w:hAnsi="Times New Roman" w:cs="Times New Roman" w:hint="eastAsia"/>
          <w:b/>
          <w:bCs/>
          <w:szCs w:val="21"/>
        </w:rPr>
        <w:t>. 7</w:t>
      </w:r>
      <w:r>
        <w:rPr>
          <w:rFonts w:ascii="Times New Roman" w:hAnsi="Times New Roman" w:cs="Times New Roman"/>
          <w:b/>
          <w:bCs/>
          <w:szCs w:val="21"/>
        </w:rPr>
        <w:t xml:space="preserve"> </w:t>
      </w:r>
      <w:r>
        <w:rPr>
          <w:rFonts w:ascii="Times New Roman" w:hAnsi="Times New Roman" w:cs="Times New Roman"/>
          <w:szCs w:val="21"/>
        </w:rPr>
        <w:t>Trajectories of B/B</w:t>
      </w:r>
      <w:r>
        <w:rPr>
          <w:rFonts w:ascii="Times New Roman" w:hAnsi="Times New Roman" w:cs="Times New Roman"/>
          <w:szCs w:val="21"/>
          <w:vertAlign w:val="subscript"/>
        </w:rPr>
        <w:t>MSY</w:t>
      </w:r>
      <w:r>
        <w:rPr>
          <w:rFonts w:ascii="Times New Roman" w:hAnsi="Times New Roman" w:cs="Times New Roman"/>
          <w:szCs w:val="21"/>
        </w:rPr>
        <w:t xml:space="preserve"> and F/F</w:t>
      </w:r>
      <w:r>
        <w:rPr>
          <w:rFonts w:ascii="Times New Roman" w:hAnsi="Times New Roman" w:cs="Times New Roman"/>
          <w:szCs w:val="21"/>
          <w:vertAlign w:val="subscript"/>
        </w:rPr>
        <w:t>MSY</w:t>
      </w:r>
      <w:r>
        <w:rPr>
          <w:rFonts w:ascii="Times New Roman" w:hAnsi="Times New Roman" w:cs="Times New Roman"/>
          <w:szCs w:val="21"/>
        </w:rPr>
        <w:t xml:space="preserve"> for the winter-spring cohort estimated from </w:t>
      </w:r>
      <w:r>
        <w:rPr>
          <w:rFonts w:ascii="Times New Roman" w:hAnsi="Times New Roman" w:cs="Times New Roman" w:hint="eastAsia"/>
          <w:szCs w:val="21"/>
        </w:rPr>
        <w:t>four</w:t>
      </w:r>
      <w:r>
        <w:rPr>
          <w:rFonts w:ascii="Times New Roman" w:hAnsi="Times New Roman" w:cs="Times New Roman"/>
          <w:szCs w:val="21"/>
        </w:rPr>
        <w:t xml:space="preserve"> abundance indices.</w:t>
      </w:r>
    </w:p>
    <w:p w14:paraId="2F1E36C8"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EC" wp14:editId="2F1E36ED">
            <wp:extent cx="5269865" cy="2532380"/>
            <wp:effectExtent l="0" t="0" r="0" b="0"/>
            <wp:docPr id="18" name="图片 18" descr="Autumn_BBmsy_FFmsy_four_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utumn_BBmsy_FFmsy_four_models"/>
                    <pic:cNvPicPr>
                      <a:picLocks noChangeAspect="1"/>
                    </pic:cNvPicPr>
                  </pic:nvPicPr>
                  <pic:blipFill>
                    <a:blip r:embed="rId13"/>
                    <a:srcRect t="3904"/>
                    <a:stretch>
                      <a:fillRect/>
                    </a:stretch>
                  </pic:blipFill>
                  <pic:spPr>
                    <a:xfrm>
                      <a:off x="0" y="0"/>
                      <a:ext cx="5269865" cy="2532380"/>
                    </a:xfrm>
                    <a:prstGeom prst="rect">
                      <a:avLst/>
                    </a:prstGeom>
                  </pic:spPr>
                </pic:pic>
              </a:graphicData>
            </a:graphic>
          </wp:inline>
        </w:drawing>
      </w:r>
    </w:p>
    <w:p w14:paraId="2F1E36C9"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 xml:space="preserve"> 8</w:t>
      </w:r>
      <w:r>
        <w:rPr>
          <w:rFonts w:ascii="Times New Roman" w:hAnsi="Times New Roman" w:cs="Times New Roman"/>
        </w:rPr>
        <w:t xml:space="preserve"> Trajectories of B/B</w:t>
      </w:r>
      <w:r>
        <w:rPr>
          <w:rFonts w:ascii="Times New Roman" w:hAnsi="Times New Roman" w:cs="Times New Roman"/>
          <w:vertAlign w:val="subscript"/>
        </w:rPr>
        <w:t>MSY </w:t>
      </w:r>
      <w:r>
        <w:rPr>
          <w:rFonts w:ascii="Times New Roman" w:hAnsi="Times New Roman" w:cs="Times New Roman"/>
        </w:rPr>
        <w:t>(left) and F/F</w:t>
      </w:r>
      <w:r>
        <w:rPr>
          <w:rFonts w:ascii="Times New Roman" w:hAnsi="Times New Roman" w:cs="Times New Roman"/>
          <w:vertAlign w:val="subscript"/>
        </w:rPr>
        <w:t>MSY</w:t>
      </w:r>
      <w:r>
        <w:rPr>
          <w:rFonts w:ascii="Times New Roman" w:hAnsi="Times New Roman" w:cs="Times New Roman"/>
        </w:rPr>
        <w:t xml:space="preserve"> (right) for the autumn cohort estimated from </w:t>
      </w:r>
      <w:r>
        <w:rPr>
          <w:rFonts w:ascii="Times New Roman" w:hAnsi="Times New Roman" w:cs="Times New Roman" w:hint="eastAsia"/>
        </w:rPr>
        <w:t>four</w:t>
      </w:r>
      <w:r>
        <w:rPr>
          <w:rFonts w:ascii="Times New Roman" w:hAnsi="Times New Roman" w:cs="Times New Roman"/>
        </w:rPr>
        <w:t xml:space="preserve"> abundance indices.</w:t>
      </w:r>
    </w:p>
    <w:p w14:paraId="2F1E36CA"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EE" wp14:editId="2F1E36EF">
            <wp:extent cx="5297170" cy="2220595"/>
            <wp:effectExtent l="0" t="0" r="17780" b="8255"/>
            <wp:docPr id="19" name="图片 19" descr="Stockwide_BBmsy_FFmsy_four_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tockwide_BBmsy_FFmsy_four_models"/>
                    <pic:cNvPicPr>
                      <a:picLocks noChangeAspect="1"/>
                    </pic:cNvPicPr>
                  </pic:nvPicPr>
                  <pic:blipFill>
                    <a:blip r:embed="rId14"/>
                    <a:srcRect t="2770"/>
                    <a:stretch>
                      <a:fillRect/>
                    </a:stretch>
                  </pic:blipFill>
                  <pic:spPr>
                    <a:xfrm>
                      <a:off x="0" y="0"/>
                      <a:ext cx="5297170" cy="2220595"/>
                    </a:xfrm>
                    <a:prstGeom prst="rect">
                      <a:avLst/>
                    </a:prstGeom>
                  </pic:spPr>
                </pic:pic>
              </a:graphicData>
            </a:graphic>
          </wp:inline>
        </w:drawing>
      </w:r>
    </w:p>
    <w:p w14:paraId="2F1E36CB" w14:textId="77777777" w:rsidR="00EF649D" w:rsidRDefault="00EA0F7C">
      <w:pPr>
        <w:rPr>
          <w:rFonts w:ascii="SimSun" w:eastAsia="SimSun" w:hAnsi="SimSun" w:cs="SimSun"/>
          <w:sz w:val="24"/>
        </w:rPr>
      </w:pPr>
      <w:r>
        <w:rPr>
          <w:rFonts w:ascii="Times New Roman" w:hAnsi="Times New Roman" w:cs="Times New Roman"/>
          <w:b/>
          <w:bCs/>
          <w:szCs w:val="21"/>
        </w:rPr>
        <w:t>Fig.</w:t>
      </w:r>
      <w:r>
        <w:rPr>
          <w:rFonts w:ascii="Times New Roman" w:hAnsi="Times New Roman" w:cs="Times New Roman" w:hint="eastAsia"/>
          <w:b/>
          <w:bCs/>
          <w:szCs w:val="21"/>
        </w:rPr>
        <w:t xml:space="preserve"> 9</w:t>
      </w:r>
      <w:r>
        <w:rPr>
          <w:rFonts w:ascii="Times New Roman" w:hAnsi="Times New Roman" w:cs="Times New Roman"/>
          <w:szCs w:val="21"/>
        </w:rPr>
        <w:t xml:space="preserve"> Trajectories of B/B</w:t>
      </w:r>
      <w:r>
        <w:rPr>
          <w:rFonts w:ascii="Times New Roman" w:hAnsi="Times New Roman" w:cs="Times New Roman"/>
          <w:szCs w:val="21"/>
          <w:vertAlign w:val="subscript"/>
        </w:rPr>
        <w:t>MSY</w:t>
      </w:r>
      <w:r>
        <w:rPr>
          <w:rFonts w:ascii="Times New Roman" w:hAnsi="Times New Roman" w:cs="Times New Roman"/>
          <w:szCs w:val="21"/>
        </w:rPr>
        <w:t> (left) and F/F</w:t>
      </w:r>
      <w:r>
        <w:rPr>
          <w:rFonts w:ascii="Times New Roman" w:hAnsi="Times New Roman" w:cs="Times New Roman"/>
          <w:szCs w:val="21"/>
          <w:vertAlign w:val="subscript"/>
        </w:rPr>
        <w:t>MSY</w:t>
      </w:r>
      <w:r>
        <w:rPr>
          <w:rFonts w:ascii="Times New Roman" w:hAnsi="Times New Roman" w:cs="Times New Roman"/>
          <w:szCs w:val="21"/>
        </w:rPr>
        <w:t xml:space="preserve"> (right) for the stock-wide population estimated </w:t>
      </w:r>
      <w:r>
        <w:rPr>
          <w:rFonts w:ascii="Times New Roman" w:hAnsi="Times New Roman" w:cs="Times New Roman"/>
          <w:szCs w:val="21"/>
        </w:rPr>
        <w:lastRenderedPageBreak/>
        <w:t xml:space="preserve">from </w:t>
      </w:r>
      <w:r>
        <w:rPr>
          <w:rFonts w:ascii="Times New Roman" w:hAnsi="Times New Roman" w:cs="Times New Roman" w:hint="eastAsia"/>
          <w:szCs w:val="21"/>
        </w:rPr>
        <w:t>four</w:t>
      </w:r>
      <w:r>
        <w:rPr>
          <w:rFonts w:ascii="Times New Roman" w:hAnsi="Times New Roman" w:cs="Times New Roman"/>
          <w:szCs w:val="21"/>
        </w:rPr>
        <w:t xml:space="preserve"> abundance indices.</w:t>
      </w:r>
    </w:p>
    <w:p w14:paraId="2F1E36CC"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F0" wp14:editId="2F1E36F1">
            <wp:extent cx="5016500" cy="4013835"/>
            <wp:effectExtent l="0" t="0" r="12700" b="5715"/>
            <wp:docPr id="2" name="图片 2" descr="WinterSpring_GAM_Retro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interSpring_GAM_Retrospective"/>
                    <pic:cNvPicPr>
                      <a:picLocks noChangeAspect="1"/>
                    </pic:cNvPicPr>
                  </pic:nvPicPr>
                  <pic:blipFill>
                    <a:blip r:embed="rId15"/>
                    <a:stretch>
                      <a:fillRect/>
                    </a:stretch>
                  </pic:blipFill>
                  <pic:spPr>
                    <a:xfrm>
                      <a:off x="0" y="0"/>
                      <a:ext cx="5016500" cy="4013835"/>
                    </a:xfrm>
                    <a:prstGeom prst="rect">
                      <a:avLst/>
                    </a:prstGeom>
                  </pic:spPr>
                </pic:pic>
              </a:graphicData>
            </a:graphic>
          </wp:inline>
        </w:drawing>
      </w:r>
    </w:p>
    <w:p w14:paraId="2F1E36CD" w14:textId="77777777" w:rsidR="00EF649D" w:rsidRDefault="00EA0F7C">
      <w:pPr>
        <w:rPr>
          <w:rFonts w:ascii="SimSun" w:eastAsia="SimSun" w:hAnsi="SimSun" w:cs="SimSun"/>
          <w:sz w:val="24"/>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10</w:t>
      </w:r>
      <w:r>
        <w:rPr>
          <w:rFonts w:ascii="Times New Roman" w:hAnsi="Times New Roman" w:cs="Times New Roman"/>
        </w:rPr>
        <w:t> Retrospective analysis of the GAM-based assessment for the winter–spring cohort</w:t>
      </w:r>
      <w:r>
        <w:rPr>
          <w:rFonts w:ascii="Times New Roman" w:hAnsi="Times New Roman" w:cs="Times New Roman" w:hint="eastAsia"/>
        </w:rPr>
        <w:t>.</w:t>
      </w:r>
    </w:p>
    <w:p w14:paraId="2F1E36CE"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F2" wp14:editId="2F1E36F3">
            <wp:extent cx="5017135" cy="4013835"/>
            <wp:effectExtent l="0" t="0" r="12065" b="5715"/>
            <wp:docPr id="3" name="图片 3" descr="Autumn_GAM_Retro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utumn_GAM_Retrospective"/>
                    <pic:cNvPicPr>
                      <a:picLocks noChangeAspect="1"/>
                    </pic:cNvPicPr>
                  </pic:nvPicPr>
                  <pic:blipFill>
                    <a:blip r:embed="rId16"/>
                    <a:stretch>
                      <a:fillRect/>
                    </a:stretch>
                  </pic:blipFill>
                  <pic:spPr>
                    <a:xfrm>
                      <a:off x="0" y="0"/>
                      <a:ext cx="5017135" cy="4013835"/>
                    </a:xfrm>
                    <a:prstGeom prst="rect">
                      <a:avLst/>
                    </a:prstGeom>
                  </pic:spPr>
                </pic:pic>
              </a:graphicData>
            </a:graphic>
          </wp:inline>
        </w:drawing>
      </w:r>
    </w:p>
    <w:p w14:paraId="2F1E36CF" w14:textId="77777777" w:rsidR="00EF649D" w:rsidRDefault="00EA0F7C">
      <w:pPr>
        <w:rPr>
          <w:rFonts w:ascii="SimSun" w:eastAsia="SimSun" w:hAnsi="SimSun" w:cs="SimSun"/>
          <w:sz w:val="24"/>
        </w:rPr>
      </w:pPr>
      <w:r>
        <w:rPr>
          <w:rFonts w:ascii="Times New Roman" w:hAnsi="Times New Roman" w:cs="Times New Roman"/>
          <w:b/>
          <w:bCs/>
        </w:rPr>
        <w:lastRenderedPageBreak/>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11</w:t>
      </w:r>
      <w:r>
        <w:rPr>
          <w:rFonts w:ascii="Times New Roman" w:hAnsi="Times New Roman" w:cs="Times New Roman"/>
        </w:rPr>
        <w:t xml:space="preserve"> Retrospective analysis of the GAM-based assessment for the </w:t>
      </w:r>
      <w:r>
        <w:rPr>
          <w:rFonts w:ascii="Times New Roman" w:hAnsi="Times New Roman" w:cs="Times New Roman" w:hint="eastAsia"/>
        </w:rPr>
        <w:t>autumn</w:t>
      </w:r>
      <w:r>
        <w:rPr>
          <w:rFonts w:ascii="Times New Roman" w:hAnsi="Times New Roman" w:cs="Times New Roman"/>
        </w:rPr>
        <w:t xml:space="preserve"> cohort</w:t>
      </w:r>
      <w:r>
        <w:rPr>
          <w:rFonts w:ascii="Times New Roman" w:hAnsi="Times New Roman" w:cs="Times New Roman" w:hint="eastAsia"/>
        </w:rPr>
        <w:t>.</w:t>
      </w:r>
    </w:p>
    <w:p w14:paraId="2F1E36D0"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F4" wp14:editId="2F1E36F5">
            <wp:extent cx="5039995" cy="4032250"/>
            <wp:effectExtent l="0" t="0" r="8255" b="6350"/>
            <wp:docPr id="4" name="图片 4" descr="Stockwide_GAM_Retro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tockwide_GAM_Retrospective"/>
                    <pic:cNvPicPr>
                      <a:picLocks noChangeAspect="1"/>
                    </pic:cNvPicPr>
                  </pic:nvPicPr>
                  <pic:blipFill>
                    <a:blip r:embed="rId17"/>
                    <a:stretch>
                      <a:fillRect/>
                    </a:stretch>
                  </pic:blipFill>
                  <pic:spPr>
                    <a:xfrm>
                      <a:off x="0" y="0"/>
                      <a:ext cx="5039995" cy="4032250"/>
                    </a:xfrm>
                    <a:prstGeom prst="rect">
                      <a:avLst/>
                    </a:prstGeom>
                  </pic:spPr>
                </pic:pic>
              </a:graphicData>
            </a:graphic>
          </wp:inline>
        </w:drawing>
      </w:r>
    </w:p>
    <w:p w14:paraId="2F1E36D1"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12</w:t>
      </w:r>
      <w:r>
        <w:rPr>
          <w:rFonts w:ascii="Times New Roman" w:hAnsi="Times New Roman" w:cs="Times New Roman"/>
        </w:rPr>
        <w:t xml:space="preserve"> Retrospective analysis of the GAM-based assessment for the </w:t>
      </w:r>
      <w:r>
        <w:rPr>
          <w:rFonts w:ascii="Times New Roman" w:hAnsi="Times New Roman" w:cs="Times New Roman" w:hint="eastAsia"/>
        </w:rPr>
        <w:t>stock-wide assessment.</w:t>
      </w:r>
    </w:p>
    <w:p w14:paraId="2F1E36D2" w14:textId="77777777" w:rsidR="00EF649D" w:rsidRDefault="00EF649D">
      <w:pPr>
        <w:rPr>
          <w:rFonts w:ascii="SimSun" w:eastAsia="SimSun" w:hAnsi="SimSun" w:cs="SimSun"/>
          <w:sz w:val="24"/>
        </w:rPr>
      </w:pPr>
    </w:p>
    <w:p w14:paraId="2F1E36D3" w14:textId="77777777" w:rsidR="00EF649D" w:rsidRDefault="00EF649D">
      <w:pPr>
        <w:rPr>
          <w:rFonts w:ascii="SimSun" w:eastAsia="SimSun" w:hAnsi="SimSun" w:cs="SimSun"/>
          <w:sz w:val="24"/>
        </w:rPr>
      </w:pPr>
    </w:p>
    <w:p w14:paraId="2F1E36D4" w14:textId="77777777" w:rsidR="00EF649D" w:rsidRDefault="00EA0F7C">
      <w:pPr>
        <w:rPr>
          <w:rFonts w:ascii="SimSun" w:eastAsia="SimSun" w:hAnsi="SimSun" w:cs="SimSun"/>
          <w:sz w:val="24"/>
        </w:rPr>
      </w:pPr>
      <w:r>
        <w:rPr>
          <w:rFonts w:ascii="SimSun" w:eastAsia="SimSun" w:hAnsi="SimSun" w:cs="SimSun" w:hint="eastAsia"/>
          <w:noProof/>
          <w:sz w:val="24"/>
        </w:rPr>
        <w:drawing>
          <wp:inline distT="0" distB="0" distL="114300" distR="114300" wp14:anchorId="2F1E36F6" wp14:editId="2F1E36F7">
            <wp:extent cx="5052060" cy="2526030"/>
            <wp:effectExtent l="0" t="0" r="15240" b="7620"/>
            <wp:docPr id="9" name="图片 9" descr="Stockwide_GAM_projection_BBmsy_FFmsy_2023_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tockwide_GAM_projection_BBmsy_FFmsy_2023_2030"/>
                    <pic:cNvPicPr>
                      <a:picLocks noChangeAspect="1"/>
                    </pic:cNvPicPr>
                  </pic:nvPicPr>
                  <pic:blipFill>
                    <a:blip r:embed="rId18"/>
                    <a:stretch>
                      <a:fillRect/>
                    </a:stretch>
                  </pic:blipFill>
                  <pic:spPr>
                    <a:xfrm>
                      <a:off x="0" y="0"/>
                      <a:ext cx="5052060" cy="2526030"/>
                    </a:xfrm>
                    <a:prstGeom prst="rect">
                      <a:avLst/>
                    </a:prstGeom>
                  </pic:spPr>
                </pic:pic>
              </a:graphicData>
            </a:graphic>
          </wp:inline>
        </w:drawing>
      </w:r>
    </w:p>
    <w:p w14:paraId="2F1E36D5"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13</w:t>
      </w:r>
      <w:r>
        <w:rPr>
          <w:rFonts w:ascii="Times New Roman" w:hAnsi="Times New Roman" w:cs="Times New Roman"/>
        </w:rPr>
        <w:t xml:space="preserve"> Short-term projections under different catch scenarios for the stock-wide GAM base-case scenario</w:t>
      </w:r>
      <w:r>
        <w:rPr>
          <w:rFonts w:ascii="Times New Roman" w:hAnsi="Times New Roman" w:cs="Times New Roman" w:hint="eastAsia"/>
        </w:rPr>
        <w:t>.</w:t>
      </w:r>
    </w:p>
    <w:p w14:paraId="2F1E36D6" w14:textId="77777777" w:rsidR="00EF649D" w:rsidRDefault="00EF649D">
      <w:pPr>
        <w:rPr>
          <w:rFonts w:ascii="SimSun" w:eastAsia="SimSun" w:hAnsi="SimSun" w:cs="SimSun"/>
          <w:sz w:val="24"/>
        </w:rPr>
      </w:pPr>
    </w:p>
    <w:p w14:paraId="2F1E36D7" w14:textId="77777777" w:rsidR="00EF649D" w:rsidRDefault="00EA0F7C">
      <w:pPr>
        <w:jc w:val="cente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2F1E36F8" wp14:editId="2F1E36F9">
            <wp:extent cx="4454525" cy="3959860"/>
            <wp:effectExtent l="0" t="0" r="3175" b="2540"/>
            <wp:docPr id="20" name="图片 20" descr="WinterSpring_four_model_kobe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WinterSpring_four_model_kobe_only"/>
                    <pic:cNvPicPr>
                      <a:picLocks noChangeAspect="1"/>
                    </pic:cNvPicPr>
                  </pic:nvPicPr>
                  <pic:blipFill>
                    <a:blip r:embed="rId19"/>
                    <a:stretch>
                      <a:fillRect/>
                    </a:stretch>
                  </pic:blipFill>
                  <pic:spPr>
                    <a:xfrm>
                      <a:off x="0" y="0"/>
                      <a:ext cx="4454525" cy="3959860"/>
                    </a:xfrm>
                    <a:prstGeom prst="rect">
                      <a:avLst/>
                    </a:prstGeom>
                  </pic:spPr>
                </pic:pic>
              </a:graphicData>
            </a:graphic>
          </wp:inline>
        </w:drawing>
      </w:r>
    </w:p>
    <w:p w14:paraId="2F1E36D8"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 xml:space="preserve">14 </w:t>
      </w:r>
      <w:r>
        <w:rPr>
          <w:rFonts w:ascii="Times New Roman" w:hAnsi="Times New Roman" w:cs="Times New Roman"/>
        </w:rPr>
        <w:t>Kobe plots showing stock status trajectories under different CPUE scenarios for the winter–spring cohort.</w:t>
      </w:r>
    </w:p>
    <w:p w14:paraId="2F1E36D9"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FA" wp14:editId="2F1E36FB">
            <wp:extent cx="4455160" cy="3959860"/>
            <wp:effectExtent l="0" t="0" r="2540" b="2540"/>
            <wp:docPr id="21" name="图片 21" descr="Autumn_four_model_kobe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Autumn_four_model_kobe_only"/>
                    <pic:cNvPicPr>
                      <a:picLocks noChangeAspect="1"/>
                    </pic:cNvPicPr>
                  </pic:nvPicPr>
                  <pic:blipFill>
                    <a:blip r:embed="rId20"/>
                    <a:stretch>
                      <a:fillRect/>
                    </a:stretch>
                  </pic:blipFill>
                  <pic:spPr>
                    <a:xfrm>
                      <a:off x="0" y="0"/>
                      <a:ext cx="4455160" cy="3959860"/>
                    </a:xfrm>
                    <a:prstGeom prst="rect">
                      <a:avLst/>
                    </a:prstGeom>
                  </pic:spPr>
                </pic:pic>
              </a:graphicData>
            </a:graphic>
          </wp:inline>
        </w:drawing>
      </w:r>
    </w:p>
    <w:p w14:paraId="2F1E36DA" w14:textId="77777777" w:rsidR="00EF649D" w:rsidRDefault="00EA0F7C">
      <w:pPr>
        <w:rPr>
          <w:rFonts w:ascii="SimSun" w:eastAsia="SimSun" w:hAnsi="SimSun" w:cs="SimSun"/>
          <w:sz w:val="24"/>
        </w:rPr>
      </w:pPr>
      <w:r>
        <w:rPr>
          <w:rFonts w:ascii="Times New Roman" w:hAnsi="Times New Roman" w:cs="Times New Roman"/>
          <w:b/>
          <w:bCs/>
        </w:rPr>
        <w:lastRenderedPageBreak/>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 xml:space="preserve">15 </w:t>
      </w:r>
      <w:r>
        <w:rPr>
          <w:rFonts w:ascii="Times New Roman" w:hAnsi="Times New Roman" w:cs="Times New Roman"/>
        </w:rPr>
        <w:t xml:space="preserve">Kobe plots showing stock status trajectories under different CPUE scenarios for the </w:t>
      </w:r>
      <w:r>
        <w:rPr>
          <w:rFonts w:ascii="Times New Roman" w:hAnsi="Times New Roman" w:cs="Times New Roman" w:hint="eastAsia"/>
        </w:rPr>
        <w:t>autumn</w:t>
      </w:r>
      <w:r>
        <w:rPr>
          <w:rFonts w:ascii="Times New Roman" w:hAnsi="Times New Roman" w:cs="Times New Roman"/>
        </w:rPr>
        <w:t xml:space="preserve"> cohort.</w:t>
      </w:r>
    </w:p>
    <w:p w14:paraId="2F1E36DB" w14:textId="77777777" w:rsidR="00EF649D" w:rsidRDefault="00EA0F7C">
      <w:pPr>
        <w:jc w:val="center"/>
        <w:rPr>
          <w:rFonts w:ascii="SimSun" w:eastAsia="SimSun" w:hAnsi="SimSun" w:cs="SimSun"/>
          <w:sz w:val="24"/>
        </w:rPr>
      </w:pPr>
      <w:r>
        <w:rPr>
          <w:rFonts w:ascii="SimSun" w:eastAsia="SimSun" w:hAnsi="SimSun" w:cs="SimSun" w:hint="eastAsia"/>
          <w:noProof/>
          <w:sz w:val="24"/>
        </w:rPr>
        <w:drawing>
          <wp:inline distT="0" distB="0" distL="114300" distR="114300" wp14:anchorId="2F1E36FC" wp14:editId="2F1E36FD">
            <wp:extent cx="4454525" cy="3959860"/>
            <wp:effectExtent l="0" t="0" r="3175" b="2540"/>
            <wp:docPr id="22" name="图片 22" descr="Stockwide_four_model_kobe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tockwide_four_model_kobe_only"/>
                    <pic:cNvPicPr>
                      <a:picLocks noChangeAspect="1"/>
                    </pic:cNvPicPr>
                  </pic:nvPicPr>
                  <pic:blipFill>
                    <a:blip r:embed="rId21"/>
                    <a:stretch>
                      <a:fillRect/>
                    </a:stretch>
                  </pic:blipFill>
                  <pic:spPr>
                    <a:xfrm>
                      <a:off x="0" y="0"/>
                      <a:ext cx="4454525" cy="3959860"/>
                    </a:xfrm>
                    <a:prstGeom prst="rect">
                      <a:avLst/>
                    </a:prstGeom>
                  </pic:spPr>
                </pic:pic>
              </a:graphicData>
            </a:graphic>
          </wp:inline>
        </w:drawing>
      </w:r>
    </w:p>
    <w:p w14:paraId="2F1E36DC" w14:textId="77777777" w:rsidR="00EF649D" w:rsidRDefault="00EA0F7C">
      <w:pPr>
        <w:rPr>
          <w:rFonts w:ascii="Times New Roman" w:hAnsi="Times New Roman" w:cs="Times New Roman"/>
        </w:rPr>
      </w:pPr>
      <w:r>
        <w:rPr>
          <w:rFonts w:ascii="Times New Roman" w:hAnsi="Times New Roman" w:cs="Times New Roman"/>
          <w:b/>
          <w:bCs/>
        </w:rPr>
        <w:t>Fig</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hint="eastAsia"/>
          <w:b/>
          <w:bCs/>
        </w:rPr>
        <w:t xml:space="preserve">16 </w:t>
      </w:r>
      <w:r>
        <w:rPr>
          <w:rFonts w:ascii="Times New Roman" w:hAnsi="Times New Roman" w:cs="Times New Roman"/>
        </w:rPr>
        <w:t xml:space="preserve">Kobe plots showing stock status trajectories under different CPUE scenarios for the </w:t>
      </w:r>
      <w:r>
        <w:rPr>
          <w:rFonts w:ascii="Times New Roman" w:hAnsi="Times New Roman" w:cs="Times New Roman" w:hint="eastAsia"/>
        </w:rPr>
        <w:t>stock-wide population</w:t>
      </w:r>
      <w:r>
        <w:rPr>
          <w:rFonts w:ascii="Times New Roman" w:hAnsi="Times New Roman" w:cs="Times New Roman"/>
        </w:rPr>
        <w:t>.</w:t>
      </w:r>
    </w:p>
    <w:p w14:paraId="2F1E36DD" w14:textId="77777777" w:rsidR="00EF649D" w:rsidRDefault="00EF649D">
      <w:pPr>
        <w:tabs>
          <w:tab w:val="left" w:pos="1322"/>
        </w:tabs>
        <w:jc w:val="left"/>
      </w:pPr>
    </w:p>
    <w:sectPr w:rsidR="00EF649D" w:rsidSect="003D5C6B">
      <w:headerReference w:type="first" r:id="rId2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D191" w14:textId="77777777" w:rsidR="00663822" w:rsidRDefault="00663822" w:rsidP="003D5C6B">
      <w:r>
        <w:separator/>
      </w:r>
    </w:p>
  </w:endnote>
  <w:endnote w:type="continuationSeparator" w:id="0">
    <w:p w14:paraId="442460C9" w14:textId="77777777" w:rsidR="00663822" w:rsidRDefault="00663822" w:rsidP="003D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CC5B5" w14:textId="77777777" w:rsidR="00663822" w:rsidRDefault="00663822" w:rsidP="003D5C6B">
      <w:r>
        <w:separator/>
      </w:r>
    </w:p>
  </w:footnote>
  <w:footnote w:type="continuationSeparator" w:id="0">
    <w:p w14:paraId="17AE25AF" w14:textId="77777777" w:rsidR="00663822" w:rsidRDefault="00663822" w:rsidP="003D5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41F6" w14:textId="6196FABC" w:rsidR="003D5C6B" w:rsidRDefault="003D5C6B">
    <w:pPr>
      <w:pStyle w:val="Header"/>
    </w:pPr>
    <w:r>
      <w:rPr>
        <w:noProof/>
        <w:sz w:val="14"/>
        <w:szCs w:val="14"/>
        <w:lang w:eastAsia="en-US"/>
      </w:rPr>
      <mc:AlternateContent>
        <mc:Choice Requires="wps">
          <w:drawing>
            <wp:anchor distT="0" distB="0" distL="114300" distR="114300" simplePos="0" relativeHeight="251675648" behindDoc="1" locked="0" layoutInCell="1" allowOverlap="0" wp14:anchorId="42B278F9" wp14:editId="0A2B02E8">
              <wp:simplePos x="0" y="0"/>
              <wp:positionH relativeFrom="margin">
                <wp:posOffset>1047750</wp:posOffset>
              </wp:positionH>
              <wp:positionV relativeFrom="paragraph">
                <wp:posOffset>348615</wp:posOffset>
              </wp:positionV>
              <wp:extent cx="3381375" cy="238125"/>
              <wp:effectExtent l="0" t="0" r="0" b="0"/>
              <wp:wrapNone/>
              <wp:docPr id="1271478476"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E8476B1" w14:textId="77777777" w:rsidR="003D5C6B" w:rsidRPr="00D42168" w:rsidRDefault="003D5C6B" w:rsidP="003D5C6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278F9" id="_x0000_t202" coordsize="21600,21600" o:spt="202" path="m,l,21600r21600,l21600,xe">
              <v:stroke joinstyle="miter"/>
              <v:path gradientshapeok="t" o:connecttype="rect"/>
            </v:shapetype>
            <v:shape id="テキスト ボックス 15" o:spid="_x0000_s1026" type="#_x0000_t202" style="position:absolute;left:0;text-align:left;margin-left:82.5pt;margin-top:27.45pt;width:266.25pt;height:18.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" o:allowoverlap="f" filled="f" stroked="f" strokeweight=".5pt">
              <v:textbox>
                <w:txbxContent>
                  <w:p w14:paraId="6E8476B1" w14:textId="77777777" w:rsidR="003D5C6B" w:rsidRPr="00D42168" w:rsidRDefault="003D5C6B" w:rsidP="003D5C6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1AEA2073" wp14:editId="11A8C887">
          <wp:simplePos x="0" y="0"/>
          <wp:positionH relativeFrom="margin">
            <wp:posOffset>2209800</wp:posOffset>
          </wp:positionH>
          <wp:positionV relativeFrom="paragraph">
            <wp:posOffset>-425303</wp:posOffset>
          </wp:positionV>
          <wp:extent cx="1047750" cy="770255"/>
          <wp:effectExtent l="0" t="0" r="0" b="0"/>
          <wp:wrapNone/>
          <wp:docPr id="165390173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D96C4C"/>
    <w:rsid w:val="003D5C6B"/>
    <w:rsid w:val="004E0024"/>
    <w:rsid w:val="005C611D"/>
    <w:rsid w:val="00663822"/>
    <w:rsid w:val="00771368"/>
    <w:rsid w:val="009C104C"/>
    <w:rsid w:val="00B4591F"/>
    <w:rsid w:val="00EA0F7C"/>
    <w:rsid w:val="00ED172A"/>
    <w:rsid w:val="00EF649D"/>
    <w:rsid w:val="035E0DC1"/>
    <w:rsid w:val="0F7F375D"/>
    <w:rsid w:val="20D96C4C"/>
    <w:rsid w:val="3A3D4A6F"/>
    <w:rsid w:val="477A38D0"/>
    <w:rsid w:val="72F13B80"/>
    <w:rsid w:val="75371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E354D"/>
  <w15:docId w15:val="{B3CA7D6C-1A0C-4B1C-ABD9-8C0212D5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NormalWeb">
    <w:name w:val="Normal (Web)"/>
    <w:basedOn w:val="Normal"/>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TMLCode">
    <w:name w:val="HTML Code"/>
    <w:basedOn w:val="DefaultParagraphFont"/>
    <w:rPr>
      <w:rFonts w:ascii="Courier New" w:hAnsi="Courier New"/>
      <w:sz w:val="20"/>
    </w:rPr>
  </w:style>
  <w:style w:type="paragraph" w:styleId="ListParagraph">
    <w:name w:val="List Paragraph"/>
    <w:basedOn w:val="Normal"/>
    <w:uiPriority w:val="34"/>
    <w:unhideWhenUsed/>
    <w:qFormat/>
    <w:pPr>
      <w:ind w:firstLineChars="200" w:firstLine="420"/>
    </w:pPr>
  </w:style>
  <w:style w:type="paragraph" w:styleId="Header">
    <w:name w:val="header"/>
    <w:basedOn w:val="Normal"/>
    <w:link w:val="HeaderChar"/>
    <w:rsid w:val="003D5C6B"/>
    <w:pPr>
      <w:tabs>
        <w:tab w:val="center" w:pos="4513"/>
        <w:tab w:val="right" w:pos="9026"/>
      </w:tabs>
    </w:pPr>
  </w:style>
  <w:style w:type="character" w:customStyle="1" w:styleId="HeaderChar">
    <w:name w:val="Header Char"/>
    <w:basedOn w:val="DefaultParagraphFont"/>
    <w:link w:val="Header"/>
    <w:rsid w:val="003D5C6B"/>
    <w:rPr>
      <w:rFonts w:asciiTheme="minorHAnsi" w:eastAsiaTheme="minorEastAsia" w:hAnsiTheme="minorHAnsi" w:cstheme="minorBidi"/>
      <w:kern w:val="2"/>
      <w:sz w:val="21"/>
      <w:szCs w:val="24"/>
    </w:rPr>
  </w:style>
  <w:style w:type="paragraph" w:styleId="Footer">
    <w:name w:val="footer"/>
    <w:basedOn w:val="Normal"/>
    <w:link w:val="FooterChar"/>
    <w:rsid w:val="003D5C6B"/>
    <w:pPr>
      <w:tabs>
        <w:tab w:val="center" w:pos="4513"/>
        <w:tab w:val="right" w:pos="9026"/>
      </w:tabs>
    </w:pPr>
  </w:style>
  <w:style w:type="character" w:customStyle="1" w:styleId="FooterChar">
    <w:name w:val="Footer Char"/>
    <w:basedOn w:val="DefaultParagraphFont"/>
    <w:link w:val="Footer"/>
    <w:rsid w:val="003D5C6B"/>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3826</Words>
  <Characters>21812</Characters>
  <Application>Microsoft Office Word</Application>
  <DocSecurity>0</DocSecurity>
  <Lines>181</Lines>
  <Paragraphs>51</Paragraphs>
  <ScaleCrop>false</ScaleCrop>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宋明艳</dc:creator>
  <cp:lastModifiedBy>Aleksandr Zavolokin</cp:lastModifiedBy>
  <cp:revision>5</cp:revision>
  <dcterms:created xsi:type="dcterms:W3CDTF">2026-07-08T22:33:00Z</dcterms:created>
  <dcterms:modified xsi:type="dcterms:W3CDTF">2026-07-16T03:44:00Z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1233A5C9ED7848B88D119081FE57BD1A_11</vt:lpwstr>
  </property>
  <property fmtid="{D5CDD505-2E9C-101B-9397-08002B2CF9AE}" pid="4" name="KSOTemplateDocerSaveRecord">
    <vt:lpwstr>eyJoZGlkIjoiYjYxY2Y0ZDEwMmU2ODU0MWZhNzlmMzg3MDMxZWVkNmEiLCJ1c2VySWQiOiIxMDQ5NDk1MzY4In0=</vt:lpwstr>
  </property>
</Properties>
</file>