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66D2A" w14:textId="69F3D9E6" w:rsidR="00602CD1" w:rsidRPr="00E75382" w:rsidRDefault="00E75382" w:rsidP="00E75382">
      <w:pPr>
        <w:spacing w:before="120"/>
        <w:jc w:val="right"/>
        <w:rPr>
          <w:rFonts w:cs="Times New Roman"/>
          <w:sz w:val="24"/>
          <w:szCs w:val="24"/>
        </w:rPr>
      </w:pPr>
      <w:r w:rsidRPr="00E75382">
        <w:rPr>
          <w:rFonts w:cs="Times New Roman"/>
          <w:sz w:val="24"/>
          <w:szCs w:val="24"/>
        </w:rPr>
        <w:t>NPFC-2026-SSC NFS04-WP06</w:t>
      </w:r>
    </w:p>
    <w:p w14:paraId="3465E1DF" w14:textId="68514023" w:rsidR="006478A4" w:rsidRPr="00E26783" w:rsidRDefault="008B3962" w:rsidP="009D040D">
      <w:pPr>
        <w:jc w:val="center"/>
        <w:rPr>
          <w:rFonts w:cs="Times New Roman"/>
          <w:sz w:val="28"/>
          <w:szCs w:val="32"/>
        </w:rPr>
      </w:pPr>
      <w:r>
        <w:rPr>
          <w:rFonts w:cs="Times New Roman" w:hint="eastAsia"/>
          <w:sz w:val="28"/>
          <w:szCs w:val="32"/>
        </w:rPr>
        <w:t xml:space="preserve">Size composition </w:t>
      </w:r>
      <w:r w:rsidR="00E26783">
        <w:rPr>
          <w:rFonts w:cs="Times New Roman" w:hint="eastAsia"/>
          <w:sz w:val="28"/>
          <w:szCs w:val="32"/>
        </w:rPr>
        <w:t xml:space="preserve">of neon flying squid based on </w:t>
      </w:r>
      <w:r w:rsidR="0049242D">
        <w:rPr>
          <w:rFonts w:cs="Times New Roman" w:hint="eastAsia"/>
          <w:sz w:val="28"/>
          <w:szCs w:val="32"/>
        </w:rPr>
        <w:t>Chinese</w:t>
      </w:r>
      <w:r w:rsidR="00E26783">
        <w:rPr>
          <w:rFonts w:cs="Times New Roman" w:hint="eastAsia"/>
          <w:sz w:val="28"/>
          <w:szCs w:val="32"/>
        </w:rPr>
        <w:t xml:space="preserve"> s</w:t>
      </w:r>
      <w:r w:rsidR="009D040D" w:rsidRPr="009D040D">
        <w:rPr>
          <w:rFonts w:cs="Times New Roman"/>
          <w:sz w:val="28"/>
          <w:szCs w:val="32"/>
        </w:rPr>
        <w:t>quid jigging survey</w:t>
      </w:r>
      <w:r w:rsidR="00E26783">
        <w:rPr>
          <w:rFonts w:cs="Times New Roman" w:hint="eastAsia"/>
          <w:sz w:val="28"/>
          <w:szCs w:val="32"/>
        </w:rPr>
        <w:t xml:space="preserve"> in the </w:t>
      </w:r>
      <w:r w:rsidR="005113A3">
        <w:rPr>
          <w:rFonts w:cs="Times New Roman" w:hint="eastAsia"/>
          <w:sz w:val="28"/>
          <w:szCs w:val="32"/>
        </w:rPr>
        <w:t>N</w:t>
      </w:r>
      <w:r w:rsidR="00E26783">
        <w:rPr>
          <w:rFonts w:cs="Times New Roman"/>
          <w:sz w:val="28"/>
          <w:szCs w:val="32"/>
        </w:rPr>
        <w:t>orthwest</w:t>
      </w:r>
      <w:r w:rsidR="00E26783">
        <w:rPr>
          <w:rFonts w:cs="Times New Roman" w:hint="eastAsia"/>
          <w:sz w:val="28"/>
          <w:szCs w:val="32"/>
        </w:rPr>
        <w:t xml:space="preserve"> Pacific Ocean</w:t>
      </w:r>
    </w:p>
    <w:p w14:paraId="5AD9FB9C" w14:textId="1AA5AB8D" w:rsidR="009D040D" w:rsidRDefault="009D040D" w:rsidP="009D040D">
      <w:pPr>
        <w:jc w:val="center"/>
        <w:rPr>
          <w:rFonts w:cs="Times New Roman"/>
          <w:sz w:val="24"/>
          <w:szCs w:val="24"/>
        </w:rPr>
      </w:pPr>
      <w:r>
        <w:rPr>
          <w:rFonts w:cs="Times New Roman" w:hint="eastAsia"/>
          <w:sz w:val="24"/>
          <w:szCs w:val="24"/>
        </w:rPr>
        <w:t>Junjie He</w:t>
      </w:r>
      <w:r w:rsidR="002846DA">
        <w:rPr>
          <w:rFonts w:cs="Times New Roman" w:hint="eastAsia"/>
          <w:sz w:val="24"/>
          <w:szCs w:val="24"/>
        </w:rPr>
        <w:t xml:space="preserve">, </w:t>
      </w:r>
      <w:proofErr w:type="spellStart"/>
      <w:r w:rsidR="002846DA">
        <w:rPr>
          <w:rFonts w:cs="Times New Roman" w:hint="eastAsia"/>
          <w:sz w:val="24"/>
          <w:szCs w:val="24"/>
        </w:rPr>
        <w:t>Bilin</w:t>
      </w:r>
      <w:proofErr w:type="spellEnd"/>
      <w:r w:rsidR="002846DA">
        <w:rPr>
          <w:rFonts w:cs="Times New Roman" w:hint="eastAsia"/>
          <w:sz w:val="24"/>
          <w:szCs w:val="24"/>
        </w:rPr>
        <w:t xml:space="preserve"> Liu, Jintao Wang</w:t>
      </w:r>
    </w:p>
    <w:p w14:paraId="03788A43" w14:textId="77B04F2A" w:rsidR="009D040D" w:rsidRPr="00816FE0" w:rsidRDefault="00E26783" w:rsidP="009D040D">
      <w:pPr>
        <w:rPr>
          <w:rFonts w:cs="Times New Roman"/>
          <w:b/>
          <w:bCs/>
          <w:sz w:val="24"/>
          <w:szCs w:val="24"/>
        </w:rPr>
      </w:pPr>
      <w:r w:rsidRPr="00816FE0">
        <w:rPr>
          <w:rFonts w:cs="Times New Roman" w:hint="eastAsia"/>
          <w:b/>
          <w:bCs/>
          <w:sz w:val="24"/>
          <w:szCs w:val="24"/>
        </w:rPr>
        <w:t>Summary</w:t>
      </w:r>
    </w:p>
    <w:p w14:paraId="347CA6B1" w14:textId="011B4CFF" w:rsidR="009D040D" w:rsidRPr="00E2512D" w:rsidRDefault="00E2512D" w:rsidP="0099461F">
      <w:pPr>
        <w:ind w:firstLineChars="200" w:firstLine="480"/>
        <w:rPr>
          <w:sz w:val="24"/>
          <w:szCs w:val="24"/>
        </w:rPr>
      </w:pPr>
      <w:r w:rsidRPr="00E2512D">
        <w:rPr>
          <w:sz w:val="24"/>
          <w:szCs w:val="24"/>
        </w:rPr>
        <w:t>This report presents an updated analysis of the size composition, length-weight relationship, and sexual maturity of neon flying squid (</w:t>
      </w:r>
      <w:proofErr w:type="spellStart"/>
      <w:r w:rsidRPr="00E2512D">
        <w:rPr>
          <w:i/>
          <w:iCs/>
          <w:sz w:val="24"/>
          <w:szCs w:val="24"/>
        </w:rPr>
        <w:t>Ommastrephes</w:t>
      </w:r>
      <w:proofErr w:type="spellEnd"/>
      <w:r w:rsidRPr="00E2512D">
        <w:rPr>
          <w:i/>
          <w:iCs/>
          <w:sz w:val="24"/>
          <w:szCs w:val="24"/>
        </w:rPr>
        <w:t xml:space="preserve"> </w:t>
      </w:r>
      <w:proofErr w:type="spellStart"/>
      <w:r w:rsidRPr="00E2512D">
        <w:rPr>
          <w:i/>
          <w:iCs/>
          <w:sz w:val="24"/>
          <w:szCs w:val="24"/>
        </w:rPr>
        <w:t>bartramii</w:t>
      </w:r>
      <w:proofErr w:type="spellEnd"/>
      <w:r w:rsidRPr="00E2512D">
        <w:rPr>
          <w:sz w:val="24"/>
          <w:szCs w:val="24"/>
        </w:rPr>
        <w:t xml:space="preserve">), based on squid jigging surveys conducted by the Chinese research vessel </w:t>
      </w:r>
      <w:r w:rsidR="009C7E6C">
        <w:rPr>
          <w:sz w:val="24"/>
          <w:szCs w:val="24"/>
        </w:rPr>
        <w:t>“</w:t>
      </w:r>
      <w:proofErr w:type="spellStart"/>
      <w:r w:rsidRPr="00E2512D">
        <w:rPr>
          <w:sz w:val="24"/>
          <w:szCs w:val="24"/>
        </w:rPr>
        <w:t>Songhang</w:t>
      </w:r>
      <w:proofErr w:type="spellEnd"/>
      <w:r w:rsidR="009C7E6C">
        <w:rPr>
          <w:sz w:val="24"/>
          <w:szCs w:val="24"/>
        </w:rPr>
        <w:t>”</w:t>
      </w:r>
      <w:r w:rsidRPr="00E2512D">
        <w:rPr>
          <w:sz w:val="24"/>
          <w:szCs w:val="24"/>
        </w:rPr>
        <w:t xml:space="preserve"> in the </w:t>
      </w:r>
      <w:r w:rsidR="005113A3">
        <w:rPr>
          <w:rFonts w:hint="eastAsia"/>
          <w:sz w:val="24"/>
          <w:szCs w:val="24"/>
        </w:rPr>
        <w:t>N</w:t>
      </w:r>
      <w:r w:rsidRPr="00E2512D">
        <w:rPr>
          <w:sz w:val="24"/>
          <w:szCs w:val="24"/>
        </w:rPr>
        <w:t xml:space="preserve">orthwest Pacific Ocean during the summer months (June to August) from 2021 to 2025. </w:t>
      </w:r>
      <w:r w:rsidR="0099461F" w:rsidRPr="0099461F">
        <w:rPr>
          <w:sz w:val="24"/>
          <w:szCs w:val="24"/>
        </w:rPr>
        <w:t>A total of 3,9</w:t>
      </w:r>
      <w:r w:rsidR="0099461F">
        <w:rPr>
          <w:rFonts w:hint="eastAsia"/>
          <w:sz w:val="24"/>
          <w:szCs w:val="24"/>
        </w:rPr>
        <w:t>08</w:t>
      </w:r>
      <w:r w:rsidR="0099461F" w:rsidRPr="0099461F">
        <w:rPr>
          <w:sz w:val="24"/>
          <w:szCs w:val="24"/>
        </w:rPr>
        <w:t xml:space="preserve"> neon flying squid individuals were measured during </w:t>
      </w:r>
      <w:r w:rsidR="0099461F">
        <w:rPr>
          <w:rFonts w:hint="eastAsia"/>
          <w:sz w:val="24"/>
          <w:szCs w:val="24"/>
        </w:rPr>
        <w:t>the survey period</w:t>
      </w:r>
      <w:r w:rsidR="0099461F" w:rsidRPr="0099461F">
        <w:rPr>
          <w:sz w:val="24"/>
          <w:szCs w:val="24"/>
        </w:rPr>
        <w:t>.</w:t>
      </w:r>
      <w:r w:rsidR="00A6184C">
        <w:rPr>
          <w:rFonts w:hint="eastAsia"/>
          <w:sz w:val="24"/>
          <w:szCs w:val="24"/>
        </w:rPr>
        <w:t xml:space="preserve"> </w:t>
      </w:r>
      <w:r w:rsidRPr="00E2512D">
        <w:rPr>
          <w:sz w:val="24"/>
          <w:szCs w:val="24"/>
        </w:rPr>
        <w:t>The results show</w:t>
      </w:r>
      <w:r w:rsidR="00096892">
        <w:rPr>
          <w:rFonts w:hint="eastAsia"/>
          <w:sz w:val="24"/>
          <w:szCs w:val="24"/>
        </w:rPr>
        <w:t>ed</w:t>
      </w:r>
      <w:r w:rsidRPr="00E2512D">
        <w:rPr>
          <w:sz w:val="24"/>
          <w:szCs w:val="24"/>
        </w:rPr>
        <w:t xml:space="preserve"> that the mantle length of the sampled neon flying squid ranged from 110 to 490 mm, with a unimodal distribution where </w:t>
      </w:r>
      <w:proofErr w:type="gramStart"/>
      <w:r w:rsidRPr="00E2512D">
        <w:rPr>
          <w:sz w:val="24"/>
          <w:szCs w:val="24"/>
        </w:rPr>
        <w:t>the vast majority of</w:t>
      </w:r>
      <w:proofErr w:type="gramEnd"/>
      <w:r w:rsidRPr="00E2512D">
        <w:rPr>
          <w:sz w:val="24"/>
          <w:szCs w:val="24"/>
        </w:rPr>
        <w:t xml:space="preserve"> individuals were concentrated between 180 and 250 mm. Most of these medium-sized individuals remained at immature stages (maturity stages 1 and 2), indicating that the summer aggregations in the surveyed high-seas fishing grounds were primarily composed of the winter-spring cohort. </w:t>
      </w:r>
    </w:p>
    <w:p w14:paraId="5F942E30" w14:textId="76918346" w:rsidR="00E26783" w:rsidRPr="00670843" w:rsidRDefault="00E26783" w:rsidP="009D040D">
      <w:pPr>
        <w:jc w:val="left"/>
        <w:rPr>
          <w:b/>
          <w:bCs/>
          <w:sz w:val="24"/>
          <w:szCs w:val="24"/>
        </w:rPr>
      </w:pPr>
      <w:r w:rsidRPr="00670843">
        <w:rPr>
          <w:rFonts w:hint="eastAsia"/>
          <w:b/>
          <w:bCs/>
          <w:sz w:val="24"/>
          <w:szCs w:val="24"/>
        </w:rPr>
        <w:t>Introduction</w:t>
      </w:r>
    </w:p>
    <w:p w14:paraId="4C5D31AB" w14:textId="117B2C6E" w:rsidR="006642FB" w:rsidRDefault="00F77BF5" w:rsidP="00225945">
      <w:pPr>
        <w:ind w:firstLineChars="200" w:firstLine="480"/>
        <w:rPr>
          <w:sz w:val="24"/>
          <w:szCs w:val="24"/>
        </w:rPr>
      </w:pPr>
      <w:r w:rsidRPr="00F77BF5">
        <w:rPr>
          <w:sz w:val="24"/>
          <w:szCs w:val="24"/>
        </w:rPr>
        <w:t>Neon flying squid (</w:t>
      </w:r>
      <w:proofErr w:type="spellStart"/>
      <w:r w:rsidRPr="00F77BF5">
        <w:rPr>
          <w:i/>
          <w:iCs/>
          <w:sz w:val="24"/>
          <w:szCs w:val="24"/>
        </w:rPr>
        <w:t>Ommastrephes</w:t>
      </w:r>
      <w:proofErr w:type="spellEnd"/>
      <w:r w:rsidRPr="00F77BF5">
        <w:rPr>
          <w:i/>
          <w:iCs/>
          <w:sz w:val="24"/>
          <w:szCs w:val="24"/>
        </w:rPr>
        <w:t xml:space="preserve"> </w:t>
      </w:r>
      <w:proofErr w:type="spellStart"/>
      <w:r w:rsidRPr="00F77BF5">
        <w:rPr>
          <w:i/>
          <w:iCs/>
          <w:sz w:val="24"/>
          <w:szCs w:val="24"/>
        </w:rPr>
        <w:t>bartramii</w:t>
      </w:r>
      <w:proofErr w:type="spellEnd"/>
      <w:r w:rsidRPr="00F77BF5">
        <w:rPr>
          <w:sz w:val="24"/>
          <w:szCs w:val="24"/>
        </w:rPr>
        <w:t>) is a key pelagic species in the North Pacific Ocean, holding significant ecological importance within the marine food web and supporting highly valuable commercial fisheries</w:t>
      </w:r>
      <w:r w:rsidR="00FB7F56">
        <w:rPr>
          <w:rFonts w:hint="eastAsia"/>
          <w:sz w:val="24"/>
          <w:szCs w:val="24"/>
        </w:rPr>
        <w:t xml:space="preserve"> </w:t>
      </w:r>
      <w:r w:rsidR="00D0773C">
        <w:rPr>
          <w:sz w:val="24"/>
          <w:szCs w:val="24"/>
        </w:rPr>
        <w:fldChar w:fldCharType="begin"/>
      </w:r>
      <w:r w:rsidR="00D0773C">
        <w:rPr>
          <w:sz w:val="24"/>
          <w:szCs w:val="24"/>
        </w:rPr>
        <w:instrText xml:space="preserve"> ADDIN ZOTERO_ITEM CSL_CITATION {"citationID":"kLrKr6zb","properties":{"unsorted":false,"formattedCitation":"(Jereb and Roper, 2010)","plainCitation":"(Jereb and Roper, 2010)","noteIndex":0},"citationItems":[{"id":260,"uris":["http://zotero.org/users/local/RhVZRVQu/items/ACWV6AQJ"],"itemData":{"id":260,"type":"book","abstract":"This is the second volume of the entirely rewritten, revised and updated version of the original FAO Catalogue of Cephalopods of the World (1984). The present Volume is a multiauthored compilation that reviews 28 families, i.e. (in alphabetical order), Ancistrocheiridae, Architeuthidae, Australiteuthidae, Bathyteuthidae, Batoteuthidae, Brachioteuthidae, Chiroteuthidae, Chtenopterygidae, Cranchiidae, Cycloteuthidae, Enoploteuthidae, Gonatidae, Histioteuthidae, Joubiniteuthidae, Lepidoteut hidae, Loliginidae, Lycoteuthidae, Magnapinnidae, Mastigoteuthidae, Neoteuthidae, Octopoteuthidae, Ommastrephidae, Onychoteuthidae, Pholidoteuthidae, Promachoteuthidae, Psychroteuthidae, Pyroteuthidae and Thysanoteuthidae, with 83 genera and the 295 species known and named to the date of the completion of the volume. It provides accounts for all families and genera, as well as illustrated keys. Information under species accounts includes: valid modern systematic name and original citatio n of the species (or subspecies); synonyms; English, French and Spanish FAO names for the species; illustrations of dorsal and ventral aspects of the whole animal (as necessary) and other distinguishing illustrations; field characteristics; diagnostic features; geographic and vertical distribution, including GISmap; size; habitat; biology; interest to fishery; local names when available; a remarks section (as necessary) and literature. The Volume is fully indexed and also includes sectio ns on terminology and measurements, an extensive glossary, an introduction with an updated review of the existing biological knowledge on squids (including fisheries information andmain catch data for recent years) and a dedicated bibliography. Due to the conspicuous amount of literature addressingmany squid species, an appendix is included in the online version, where those references considered most pertinent to the species are listed, by family and species, in alphabetical order by au thor; key words, also, are reported.","ISBN":"978-92-5-106720-8","ISSN":"1020-8682","language":"en","note":"issue: 2\nnumber: 2","number-of-pages":"649","publisher":"FAO","publisher-place":"Rome","source":"oceanrep.geomar.de","title":"Cephalopods of the world - an annotated and illustrated catalogue of cephalopod species known to date. Vol 2. Myopsid and oegopsid squids","author":[{"family":"Jereb","given":"P."},{"family":"Roper","given":"C. F. E."}],"editor":[{"family":"Jereb","given":"P."},{"family":"Roper","given":"C. F. E."}],"issued":{"date-parts":[["2010"]]}}}],"schema":"https://github.com/citation-style-language/schema/raw/master/csl-citation.json"} </w:instrText>
      </w:r>
      <w:r w:rsidR="00D0773C">
        <w:rPr>
          <w:sz w:val="24"/>
          <w:szCs w:val="24"/>
        </w:rPr>
        <w:fldChar w:fldCharType="separate"/>
      </w:r>
      <w:r w:rsidR="00D0773C" w:rsidRPr="00D0773C">
        <w:rPr>
          <w:rFonts w:cs="Times New Roman"/>
          <w:sz w:val="24"/>
        </w:rPr>
        <w:t>(Jereb and Roper, 2010)</w:t>
      </w:r>
      <w:r w:rsidR="00D0773C">
        <w:rPr>
          <w:sz w:val="24"/>
          <w:szCs w:val="24"/>
        </w:rPr>
        <w:fldChar w:fldCharType="end"/>
      </w:r>
      <w:r w:rsidR="006642FB">
        <w:rPr>
          <w:rFonts w:hint="eastAsia"/>
          <w:sz w:val="24"/>
          <w:szCs w:val="24"/>
        </w:rPr>
        <w:t>.</w:t>
      </w:r>
      <w:r w:rsidRPr="00F77BF5">
        <w:rPr>
          <w:sz w:val="24"/>
          <w:szCs w:val="24"/>
        </w:rPr>
        <w:t xml:space="preserve"> Given its short lifespan and high sensitivity to oceanographic conditions, continuous monitoring of its biological characteristics is critical for sustainable fisheries management under the framework of the North Pacific Fisheries Commission.</w:t>
      </w:r>
      <w:r w:rsidR="006642FB" w:rsidRPr="006642FB">
        <w:t xml:space="preserve"> </w:t>
      </w:r>
      <w:r w:rsidR="006642FB" w:rsidRPr="006642FB">
        <w:rPr>
          <w:sz w:val="24"/>
          <w:szCs w:val="24"/>
        </w:rPr>
        <w:t>Fishery-independent efforts</w:t>
      </w:r>
      <w:r w:rsidR="006642FB">
        <w:rPr>
          <w:rFonts w:hint="eastAsia"/>
          <w:sz w:val="24"/>
          <w:szCs w:val="24"/>
        </w:rPr>
        <w:t xml:space="preserve"> </w:t>
      </w:r>
      <w:r w:rsidR="006642FB" w:rsidRPr="006642FB">
        <w:rPr>
          <w:sz w:val="24"/>
          <w:szCs w:val="24"/>
        </w:rPr>
        <w:t>are vital for collecting crucial biological data to understand the demographic structure and spatial distribution of the stock in the high seas.</w:t>
      </w:r>
      <w:r w:rsidR="00DC2238" w:rsidRPr="00DC2238">
        <w:rPr>
          <w:sz w:val="24"/>
          <w:szCs w:val="24"/>
        </w:rPr>
        <w:t xml:space="preserve"> </w:t>
      </w:r>
    </w:p>
    <w:p w14:paraId="2ECB63B6" w14:textId="50959684" w:rsidR="00E26783" w:rsidRPr="00F77BF5" w:rsidRDefault="00F77BF5" w:rsidP="00225945">
      <w:pPr>
        <w:ind w:firstLineChars="200" w:firstLine="480"/>
        <w:rPr>
          <w:sz w:val="24"/>
          <w:szCs w:val="24"/>
        </w:rPr>
      </w:pPr>
      <w:r w:rsidRPr="00F77BF5">
        <w:rPr>
          <w:sz w:val="24"/>
          <w:szCs w:val="24"/>
        </w:rPr>
        <w:t>This report provides an updated analysis regarding the size composition of neon flying squid based on Chinese squid jigging survey</w:t>
      </w:r>
      <w:r w:rsidR="005113A3">
        <w:rPr>
          <w:rFonts w:hint="eastAsia"/>
          <w:sz w:val="24"/>
          <w:szCs w:val="24"/>
        </w:rPr>
        <w:t>s</w:t>
      </w:r>
      <w:r w:rsidR="003B28BD">
        <w:rPr>
          <w:rFonts w:hint="eastAsia"/>
          <w:sz w:val="24"/>
          <w:szCs w:val="24"/>
        </w:rPr>
        <w:t xml:space="preserve"> conducted by research vessel </w:t>
      </w:r>
      <w:r w:rsidR="00FB7F56">
        <w:rPr>
          <w:sz w:val="24"/>
          <w:szCs w:val="24"/>
        </w:rPr>
        <w:t>“</w:t>
      </w:r>
      <w:proofErr w:type="spellStart"/>
      <w:r w:rsidR="003B28BD" w:rsidRPr="003B28BD">
        <w:rPr>
          <w:rFonts w:hint="eastAsia"/>
          <w:sz w:val="24"/>
          <w:szCs w:val="24"/>
        </w:rPr>
        <w:t>S</w:t>
      </w:r>
      <w:r w:rsidR="003B28BD" w:rsidRPr="003B28BD">
        <w:rPr>
          <w:sz w:val="24"/>
          <w:szCs w:val="24"/>
        </w:rPr>
        <w:t>onghang</w:t>
      </w:r>
      <w:proofErr w:type="spellEnd"/>
      <w:r w:rsidR="00FB7F56">
        <w:rPr>
          <w:sz w:val="24"/>
          <w:szCs w:val="24"/>
        </w:rPr>
        <w:t>”</w:t>
      </w:r>
      <w:r w:rsidRPr="00F77BF5">
        <w:rPr>
          <w:sz w:val="24"/>
          <w:szCs w:val="24"/>
        </w:rPr>
        <w:t xml:space="preserve"> in the </w:t>
      </w:r>
      <w:r w:rsidR="005113A3">
        <w:rPr>
          <w:rFonts w:hint="eastAsia"/>
          <w:sz w:val="24"/>
          <w:szCs w:val="24"/>
        </w:rPr>
        <w:t>N</w:t>
      </w:r>
      <w:r w:rsidRPr="00F77BF5">
        <w:rPr>
          <w:sz w:val="24"/>
          <w:szCs w:val="24"/>
        </w:rPr>
        <w:t xml:space="preserve">orthwest Pacific Ocean. </w:t>
      </w:r>
      <w:r w:rsidR="0099461F">
        <w:rPr>
          <w:rFonts w:hint="eastAsia"/>
          <w:sz w:val="24"/>
          <w:szCs w:val="24"/>
        </w:rPr>
        <w:t>T</w:t>
      </w:r>
      <w:r w:rsidRPr="00F77BF5">
        <w:rPr>
          <w:sz w:val="24"/>
          <w:szCs w:val="24"/>
        </w:rPr>
        <w:t>he survey station activities conducted during the summer months (June to August) between 2021-2025</w:t>
      </w:r>
      <w:r w:rsidR="0099461F">
        <w:rPr>
          <w:rFonts w:hint="eastAsia"/>
          <w:sz w:val="24"/>
          <w:szCs w:val="24"/>
        </w:rPr>
        <w:t xml:space="preserve"> </w:t>
      </w:r>
      <w:r w:rsidR="005113A3">
        <w:rPr>
          <w:rFonts w:hint="eastAsia"/>
          <w:sz w:val="24"/>
          <w:szCs w:val="24"/>
        </w:rPr>
        <w:t>are</w:t>
      </w:r>
      <w:r w:rsidR="0099461F" w:rsidRPr="00F77BF5">
        <w:rPr>
          <w:sz w:val="24"/>
          <w:szCs w:val="24"/>
        </w:rPr>
        <w:t xml:space="preserve"> summarize</w:t>
      </w:r>
      <w:r w:rsidR="0099461F">
        <w:rPr>
          <w:rFonts w:hint="eastAsia"/>
          <w:sz w:val="24"/>
          <w:szCs w:val="24"/>
        </w:rPr>
        <w:t>d</w:t>
      </w:r>
      <w:r w:rsidRPr="00F77BF5">
        <w:rPr>
          <w:sz w:val="24"/>
          <w:szCs w:val="24"/>
        </w:rPr>
        <w:t xml:space="preserve">. </w:t>
      </w:r>
      <w:r w:rsidR="006642FB">
        <w:rPr>
          <w:rFonts w:hint="eastAsia"/>
          <w:sz w:val="24"/>
          <w:szCs w:val="24"/>
        </w:rPr>
        <w:t>Currently</w:t>
      </w:r>
      <w:r w:rsidR="006642FB" w:rsidRPr="00DC2238">
        <w:rPr>
          <w:sz w:val="24"/>
          <w:szCs w:val="24"/>
        </w:rPr>
        <w:t xml:space="preserve">, mantle length has been widely used to evaluate population structure; </w:t>
      </w:r>
      <w:r w:rsidR="006642FB" w:rsidRPr="006642FB">
        <w:rPr>
          <w:sz w:val="24"/>
          <w:szCs w:val="24"/>
        </w:rPr>
        <w:t>however, utilizing size composition alone to differentiate between the winter-spring and autumn cohorts may present certain uncertainties for such short-lived species. Consequently, integrating the analysis of gonad development and sexual maturity stages offers valuable supplementary information, facilitating a clearer identification of spawning cohorts and a more comprehensive understanding of population dynamics.</w:t>
      </w:r>
    </w:p>
    <w:p w14:paraId="2D7D4554" w14:textId="33812E7F" w:rsidR="00E26783" w:rsidRPr="00670843" w:rsidRDefault="00E26783" w:rsidP="009D040D">
      <w:pPr>
        <w:jc w:val="left"/>
        <w:rPr>
          <w:b/>
          <w:bCs/>
          <w:sz w:val="24"/>
          <w:szCs w:val="24"/>
        </w:rPr>
      </w:pPr>
      <w:r w:rsidRPr="00670843">
        <w:rPr>
          <w:rFonts w:hint="eastAsia"/>
          <w:b/>
          <w:bCs/>
          <w:sz w:val="24"/>
          <w:szCs w:val="24"/>
        </w:rPr>
        <w:t>Methods</w:t>
      </w:r>
    </w:p>
    <w:p w14:paraId="3CEA911A" w14:textId="6841A808" w:rsidR="008C694F" w:rsidRPr="00B05333" w:rsidRDefault="00225945" w:rsidP="006C619A">
      <w:pPr>
        <w:ind w:firstLineChars="200" w:firstLine="480"/>
        <w:rPr>
          <w:sz w:val="24"/>
          <w:szCs w:val="24"/>
        </w:rPr>
      </w:pPr>
      <w:r w:rsidRPr="00B05333">
        <w:rPr>
          <w:rFonts w:hint="eastAsia"/>
          <w:sz w:val="24"/>
          <w:szCs w:val="24"/>
        </w:rPr>
        <w:t>S</w:t>
      </w:r>
      <w:r w:rsidRPr="00B05333">
        <w:rPr>
          <w:sz w:val="24"/>
          <w:szCs w:val="24"/>
        </w:rPr>
        <w:t xml:space="preserve">urveys for neon flying squid were systematically conducted by </w:t>
      </w:r>
      <w:r w:rsidR="008D01C4" w:rsidRPr="00B05333">
        <w:rPr>
          <w:rFonts w:hint="eastAsia"/>
          <w:sz w:val="24"/>
          <w:szCs w:val="24"/>
        </w:rPr>
        <w:t>research</w:t>
      </w:r>
      <w:r w:rsidRPr="00B05333">
        <w:rPr>
          <w:sz w:val="24"/>
          <w:szCs w:val="24"/>
        </w:rPr>
        <w:t xml:space="preserve"> vessel</w:t>
      </w:r>
      <w:r w:rsidR="008D01C4" w:rsidRPr="00B05333">
        <w:rPr>
          <w:rFonts w:hint="eastAsia"/>
          <w:sz w:val="24"/>
          <w:szCs w:val="24"/>
        </w:rPr>
        <w:t xml:space="preserve"> </w:t>
      </w:r>
      <w:r w:rsidR="009C7E6C">
        <w:rPr>
          <w:sz w:val="24"/>
          <w:szCs w:val="24"/>
        </w:rPr>
        <w:t>“</w:t>
      </w:r>
      <w:proofErr w:type="spellStart"/>
      <w:r w:rsidR="008D01C4" w:rsidRPr="00B05333">
        <w:rPr>
          <w:rFonts w:hint="eastAsia"/>
          <w:sz w:val="24"/>
          <w:szCs w:val="24"/>
        </w:rPr>
        <w:t>Songhang</w:t>
      </w:r>
      <w:proofErr w:type="spellEnd"/>
      <w:r w:rsidR="009C7E6C">
        <w:rPr>
          <w:sz w:val="24"/>
          <w:szCs w:val="24"/>
        </w:rPr>
        <w:t>”</w:t>
      </w:r>
      <w:r w:rsidRPr="00B05333">
        <w:rPr>
          <w:sz w:val="24"/>
          <w:szCs w:val="24"/>
        </w:rPr>
        <w:t xml:space="preserve"> in the </w:t>
      </w:r>
      <w:r w:rsidR="005113A3">
        <w:rPr>
          <w:rFonts w:hint="eastAsia"/>
          <w:sz w:val="24"/>
          <w:szCs w:val="24"/>
        </w:rPr>
        <w:t>N</w:t>
      </w:r>
      <w:r w:rsidRPr="00B05333">
        <w:rPr>
          <w:sz w:val="24"/>
          <w:szCs w:val="24"/>
        </w:rPr>
        <w:t>orthwest Pacific Ocean. The sampling operations were carried out from June to August</w:t>
      </w:r>
      <w:r w:rsidR="008D01C4" w:rsidRPr="00B05333">
        <w:rPr>
          <w:rFonts w:hint="eastAsia"/>
          <w:sz w:val="24"/>
          <w:szCs w:val="24"/>
        </w:rPr>
        <w:t xml:space="preserve"> </w:t>
      </w:r>
      <w:r w:rsidRPr="00B05333">
        <w:rPr>
          <w:sz w:val="24"/>
          <w:szCs w:val="24"/>
        </w:rPr>
        <w:t>between 2021 and 2025.</w:t>
      </w:r>
      <w:r w:rsidR="00334E79" w:rsidRPr="00B05333">
        <w:rPr>
          <w:sz w:val="24"/>
          <w:szCs w:val="24"/>
        </w:rPr>
        <w:t xml:space="preserve">The squid jigging stations were designed using a spatial stratified sampling scheme. The survey area in the high seas of the </w:t>
      </w:r>
      <w:r w:rsidR="005113A3">
        <w:rPr>
          <w:rFonts w:hint="eastAsia"/>
          <w:sz w:val="24"/>
          <w:szCs w:val="24"/>
        </w:rPr>
        <w:t>N</w:t>
      </w:r>
      <w:r w:rsidR="00334E79" w:rsidRPr="00B05333">
        <w:rPr>
          <w:sz w:val="24"/>
          <w:szCs w:val="24"/>
        </w:rPr>
        <w:t>orthwest Pacific</w:t>
      </w:r>
      <w:r w:rsidR="005113A3">
        <w:rPr>
          <w:rFonts w:hint="eastAsia"/>
          <w:sz w:val="24"/>
          <w:szCs w:val="24"/>
        </w:rPr>
        <w:t xml:space="preserve"> Ocean</w:t>
      </w:r>
      <w:r w:rsidR="00334E79" w:rsidRPr="00B05333">
        <w:rPr>
          <w:sz w:val="24"/>
          <w:szCs w:val="24"/>
        </w:rPr>
        <w:t xml:space="preserve"> was divided into several geographic strata according to longitude and latitude gradients, and sampling stations were allocated within these strata.</w:t>
      </w:r>
      <w:r w:rsidR="00B05333" w:rsidRPr="00B05333">
        <w:rPr>
          <w:rFonts w:hint="eastAsia"/>
          <w:sz w:val="24"/>
          <w:szCs w:val="24"/>
        </w:rPr>
        <w:t xml:space="preserve"> </w:t>
      </w:r>
      <w:r w:rsidR="00B05333" w:rsidRPr="00B05333">
        <w:rPr>
          <w:sz w:val="24"/>
          <w:szCs w:val="24"/>
        </w:rPr>
        <w:t xml:space="preserve">Table 1 summarizes the details of the survey efforts and biological sampling activities. Due to specific logistical reasons, the station data for 2021 were not available (NA). </w:t>
      </w:r>
      <w:r w:rsidR="00D71006" w:rsidRPr="00D71006">
        <w:rPr>
          <w:sz w:val="24"/>
          <w:szCs w:val="24"/>
        </w:rPr>
        <w:t xml:space="preserve">Spatially, the survey area in 2022 was bounded by 152.55–164.18°E and 36.01–45.15°N, and located within 156.68–164.02°E and 35.45–45.12°N in 2023. Subsequently, the survey footprint </w:t>
      </w:r>
      <w:r w:rsidR="00D71006" w:rsidRPr="00D71006">
        <w:rPr>
          <w:sz w:val="24"/>
          <w:szCs w:val="24"/>
        </w:rPr>
        <w:lastRenderedPageBreak/>
        <w:t>extended westward to 147.92°E in 2024, and further eastward to 168.12°E in 2025, achieving its broadest spatial coverage</w:t>
      </w:r>
      <w:r w:rsidR="000830A6">
        <w:rPr>
          <w:rFonts w:hint="eastAsia"/>
          <w:sz w:val="24"/>
          <w:szCs w:val="24"/>
        </w:rPr>
        <w:t xml:space="preserve"> (Fig.1)</w:t>
      </w:r>
      <w:r w:rsidR="00D71006" w:rsidRPr="00D71006">
        <w:rPr>
          <w:sz w:val="24"/>
          <w:szCs w:val="24"/>
        </w:rPr>
        <w:t>. Concurrently, the occurrence rate of neon flying squid varied across the years, ranging from 25.93% to 53.33%.</w:t>
      </w:r>
    </w:p>
    <w:p w14:paraId="242569DE" w14:textId="063C3D54" w:rsidR="006C619A" w:rsidRPr="00B05333" w:rsidRDefault="006C619A" w:rsidP="006C619A">
      <w:pPr>
        <w:ind w:firstLineChars="200" w:firstLine="480"/>
        <w:rPr>
          <w:sz w:val="24"/>
          <w:szCs w:val="24"/>
        </w:rPr>
      </w:pPr>
      <w:r w:rsidRPr="00B05333">
        <w:rPr>
          <w:sz w:val="24"/>
          <w:szCs w:val="24"/>
        </w:rPr>
        <w:t>All specimens were frozen and brought back to the laboratory for</w:t>
      </w:r>
      <w:r w:rsidRPr="00B05333">
        <w:rPr>
          <w:rFonts w:hint="eastAsia"/>
          <w:sz w:val="24"/>
          <w:szCs w:val="24"/>
        </w:rPr>
        <w:t xml:space="preserve"> further</w:t>
      </w:r>
      <w:r w:rsidRPr="00B05333">
        <w:rPr>
          <w:sz w:val="24"/>
          <w:szCs w:val="24"/>
        </w:rPr>
        <w:t xml:space="preserve"> biological analysis</w:t>
      </w:r>
      <w:r w:rsidRPr="00B05333">
        <w:rPr>
          <w:rFonts w:hint="eastAsia"/>
          <w:sz w:val="24"/>
          <w:szCs w:val="24"/>
        </w:rPr>
        <w:t>, which includes t</w:t>
      </w:r>
      <w:r w:rsidRPr="00B05333">
        <w:rPr>
          <w:sz w:val="24"/>
          <w:szCs w:val="24"/>
        </w:rPr>
        <w:t>he measurement</w:t>
      </w:r>
      <w:r w:rsidRPr="00B05333">
        <w:rPr>
          <w:rFonts w:hint="eastAsia"/>
          <w:sz w:val="24"/>
          <w:szCs w:val="24"/>
        </w:rPr>
        <w:t xml:space="preserve"> of </w:t>
      </w:r>
      <w:r w:rsidRPr="00B05333">
        <w:rPr>
          <w:sz w:val="24"/>
          <w:szCs w:val="24"/>
        </w:rPr>
        <w:t>mantle length</w:t>
      </w:r>
      <w:r w:rsidR="00256782">
        <w:rPr>
          <w:rFonts w:hint="eastAsia"/>
          <w:sz w:val="24"/>
          <w:szCs w:val="24"/>
        </w:rPr>
        <w:t xml:space="preserve"> (1mm),</w:t>
      </w:r>
      <w:r w:rsidRPr="00B05333">
        <w:rPr>
          <w:sz w:val="24"/>
          <w:szCs w:val="24"/>
        </w:rPr>
        <w:t xml:space="preserve"> body weight</w:t>
      </w:r>
      <w:r w:rsidR="00256782">
        <w:rPr>
          <w:rFonts w:hint="eastAsia"/>
          <w:sz w:val="24"/>
          <w:szCs w:val="24"/>
        </w:rPr>
        <w:t xml:space="preserve"> (g) and </w:t>
      </w:r>
      <w:r w:rsidRPr="00B05333">
        <w:rPr>
          <w:sz w:val="24"/>
          <w:szCs w:val="24"/>
        </w:rPr>
        <w:t>sexual maturity</w:t>
      </w:r>
      <w:r w:rsidR="00225945" w:rsidRPr="00B05333">
        <w:rPr>
          <w:rFonts w:hint="eastAsia"/>
          <w:sz w:val="24"/>
          <w:szCs w:val="24"/>
        </w:rPr>
        <w:t xml:space="preserve">. </w:t>
      </w:r>
      <w:r w:rsidR="00FB3EE8">
        <w:rPr>
          <w:rFonts w:hint="eastAsia"/>
          <w:sz w:val="24"/>
          <w:szCs w:val="24"/>
        </w:rPr>
        <w:t>E</w:t>
      </w:r>
      <w:r w:rsidR="00FB3EE8" w:rsidRPr="00FB3EE8">
        <w:rPr>
          <w:sz w:val="24"/>
          <w:szCs w:val="24"/>
        </w:rPr>
        <w:t>ach squid specimen was dissected to determine its sex and evaluate its reproductive status. The sexual maturity of both male and female neon flying squid was assessed macroscopically based on the visual observation of the gonads and accessory reproductive organs. For this study, the maturity status was classified into five macroscopic stages (Stage 1 to Stage 5), adapting standard cephalopod grading criteria. The detailed descriptive characteristics and specific morphological criteria for each maturity stage are defined in Table 3.</w:t>
      </w:r>
    </w:p>
    <w:p w14:paraId="4C4289FE" w14:textId="77777777" w:rsidR="00FB7F56" w:rsidRDefault="00FB7F56" w:rsidP="00FB7F56">
      <w:pPr>
        <w:ind w:firstLineChars="200" w:firstLine="480"/>
        <w:jc w:val="left"/>
        <w:rPr>
          <w:sz w:val="24"/>
          <w:szCs w:val="24"/>
        </w:rPr>
      </w:pPr>
      <w:r w:rsidRPr="007030A4">
        <w:rPr>
          <w:sz w:val="24"/>
          <w:szCs w:val="24"/>
        </w:rPr>
        <w:t xml:space="preserve">The relationship between mantle length and body weight for neon flying squid was established using the power function </w:t>
      </w:r>
    </w:p>
    <w:p w14:paraId="523147C2" w14:textId="20969799" w:rsidR="00E26783" w:rsidRPr="008A6845" w:rsidRDefault="00FB7F56" w:rsidP="00FB7F56">
      <w:pPr>
        <w:ind w:firstLineChars="200" w:firstLine="480"/>
        <w:jc w:val="center"/>
        <w:rPr>
          <w:sz w:val="24"/>
          <w:szCs w:val="24"/>
          <w:lang w:val="fr-FR"/>
        </w:rPr>
      </w:pPr>
      <w:r w:rsidRPr="008A6845">
        <w:rPr>
          <w:sz w:val="24"/>
          <w:szCs w:val="24"/>
          <w:lang w:val="fr-FR"/>
        </w:rPr>
        <w:t>W = aL</w:t>
      </w:r>
      <w:r w:rsidRPr="008A6845">
        <w:rPr>
          <w:rFonts w:hint="eastAsia"/>
          <w:sz w:val="24"/>
          <w:szCs w:val="24"/>
          <w:vertAlign w:val="superscript"/>
          <w:lang w:val="fr-FR"/>
        </w:rPr>
        <w:t>b</w:t>
      </w:r>
      <w:r>
        <w:rPr>
          <w:sz w:val="24"/>
          <w:szCs w:val="24"/>
          <w:vertAlign w:val="superscript"/>
        </w:rPr>
        <w:fldChar w:fldCharType="begin"/>
      </w:r>
      <w:r w:rsidRPr="008A6845">
        <w:rPr>
          <w:sz w:val="24"/>
          <w:szCs w:val="24"/>
          <w:vertAlign w:val="superscript"/>
          <w:lang w:val="fr-FR"/>
        </w:rPr>
        <w:instrText xml:space="preserve"> ADDIN ZOTERO_ITEM CSL_CITATION {"citationID":"u6LgpXrr","properties":{"unsorted":false,"formattedCitation":"(Wang et al., 2023)","plainCitation":"(Wang et al., 2023)","noteIndex":0},"citationItems":[{"id":666,"uris":["http://zotero.org/users/local/RhVZRVQu/items/5BGTPYJE"],"itemData":{"id":666,"type":"article-journal","abstract":"Climate change has had large impacts on marine animals, including neon flying squid Ommastrephes bartramii (O. bartramii) in the North Pacific Ocean. O. bartramii statoliths from 2012, 2015, and 2016 were used to evaluate the variations in life cycle events. The relationship between mantle length and body weight showed significant differences between years and gender. The oldest squid was collected in 2016 at 271 days old, further proving that O. bartramii has nearly a 1-year life span. The hatching season ranged from December to May and the peak hatching time in 2015 was one-half month later than in 2012 and 2016. Growth rates varied with environmental factors such as sea surface temperature (SST) and chlorophyll a concentration (chl. a), indicating that higher SST and chl. a concentrations led to faster growth. An extreme El Niño event with lower SST in 2015 also led to younger age class and slower growth rates. The occurrence of differences in body size and growth rates between years, caused by the interannual variations of environmental factors, makes it necessary to use separate growth curves for different years when analyzing North Pacific O. Bartramii populations.","container-title":"Aquaculture and Fisheries","DOI":"10.1016/j.aaf.2021.08.006","ISSN":"2468-550X","issue":"2","journalAbbreviation":"Aquaculture and Fisheries","language":"en","page":"211-220","source":"ScienceDirect","title":"Climate-induced life cycle and growth variations of neon flying squid (&lt;i&gt;Ommastrephes bartramii&lt;/i&gt;) in the North Pacific Ocean","volume":"8","author":[{"family":"Wang","given":"Yan"},{"family":"Han","given":"Peiwu"},{"family":"Fang","given":"Zhou"},{"family":"Chen","given":"Xinjun"}],"issued":{"date-parts":[["2023",3,1]]}}}],"schema":"https://github.com/citation-style-language/schema/raw/master/csl-citation.json"} </w:instrText>
      </w:r>
      <w:r>
        <w:rPr>
          <w:sz w:val="24"/>
          <w:szCs w:val="24"/>
          <w:vertAlign w:val="superscript"/>
        </w:rPr>
        <w:fldChar w:fldCharType="separate"/>
      </w:r>
      <w:r w:rsidRPr="008A6845">
        <w:rPr>
          <w:rFonts w:cs="Times New Roman"/>
          <w:sz w:val="24"/>
          <w:lang w:val="fr-FR"/>
        </w:rPr>
        <w:t>(Wang et al., 2023)</w:t>
      </w:r>
      <w:r>
        <w:rPr>
          <w:sz w:val="24"/>
          <w:szCs w:val="24"/>
          <w:vertAlign w:val="superscript"/>
        </w:rPr>
        <w:fldChar w:fldCharType="end"/>
      </w:r>
      <w:r w:rsidRPr="008A6845">
        <w:rPr>
          <w:sz w:val="24"/>
          <w:szCs w:val="24"/>
          <w:lang w:val="fr-FR"/>
        </w:rPr>
        <w:t>.</w:t>
      </w:r>
    </w:p>
    <w:p w14:paraId="1C4CD414" w14:textId="2EEA4820" w:rsidR="00C43F75" w:rsidRPr="006C619A" w:rsidRDefault="00C43F75" w:rsidP="00C43F75">
      <w:pPr>
        <w:ind w:firstLineChars="200" w:firstLine="480"/>
        <w:rPr>
          <w:sz w:val="24"/>
          <w:szCs w:val="24"/>
        </w:rPr>
      </w:pPr>
      <w:r w:rsidRPr="00784891">
        <w:rPr>
          <w:rFonts w:cs="Times New Roman"/>
          <w:sz w:val="24"/>
          <w:szCs w:val="24"/>
        </w:rPr>
        <w:t xml:space="preserve">where </w:t>
      </w:r>
      <w:r w:rsidRPr="000830A6">
        <w:rPr>
          <w:rFonts w:cs="Times New Roman"/>
          <w:sz w:val="24"/>
          <w:szCs w:val="24"/>
        </w:rPr>
        <w:t>W</w:t>
      </w:r>
      <w:r w:rsidRPr="00784891">
        <w:rPr>
          <w:rFonts w:cs="Times New Roman"/>
          <w:sz w:val="24"/>
          <w:szCs w:val="24"/>
        </w:rPr>
        <w:t xml:space="preserve"> is body weight, </w:t>
      </w:r>
      <w:r w:rsidRPr="000830A6">
        <w:rPr>
          <w:rFonts w:cs="Times New Roman"/>
          <w:sz w:val="24"/>
          <w:szCs w:val="24"/>
        </w:rPr>
        <w:t>L</w:t>
      </w:r>
      <w:r w:rsidRPr="00784891">
        <w:rPr>
          <w:rFonts w:cs="Times New Roman"/>
          <w:sz w:val="24"/>
          <w:szCs w:val="24"/>
        </w:rPr>
        <w:t xml:space="preserve"> is </w:t>
      </w:r>
      <w:r w:rsidR="000830A6">
        <w:rPr>
          <w:rFonts w:cs="Times New Roman" w:hint="eastAsia"/>
          <w:sz w:val="24"/>
          <w:szCs w:val="24"/>
        </w:rPr>
        <w:t>mantle</w:t>
      </w:r>
      <w:r w:rsidRPr="00784891">
        <w:rPr>
          <w:rFonts w:cs="Times New Roman"/>
          <w:sz w:val="24"/>
          <w:szCs w:val="24"/>
        </w:rPr>
        <w:t xml:space="preserve"> length, and </w:t>
      </w:r>
      <w:r w:rsidRPr="00784891">
        <w:rPr>
          <w:rFonts w:cs="Times New Roman"/>
          <w:i/>
          <w:iCs/>
          <w:sz w:val="24"/>
          <w:szCs w:val="24"/>
        </w:rPr>
        <w:t>a</w:t>
      </w:r>
      <w:r w:rsidRPr="00784891">
        <w:rPr>
          <w:rFonts w:cs="Times New Roman"/>
          <w:sz w:val="24"/>
          <w:szCs w:val="24"/>
        </w:rPr>
        <w:t xml:space="preserve"> and </w:t>
      </w:r>
      <w:r w:rsidRPr="00784891">
        <w:rPr>
          <w:rFonts w:cs="Times New Roman"/>
          <w:i/>
          <w:iCs/>
          <w:sz w:val="24"/>
          <w:szCs w:val="24"/>
        </w:rPr>
        <w:t>b</w:t>
      </w:r>
      <w:r w:rsidRPr="00784891">
        <w:rPr>
          <w:rFonts w:cs="Times New Roman"/>
          <w:sz w:val="24"/>
          <w:szCs w:val="24"/>
        </w:rPr>
        <w:t xml:space="preserve"> are parameters to be estimated.</w:t>
      </w:r>
    </w:p>
    <w:p w14:paraId="188B0CAA" w14:textId="41CE9DD0" w:rsidR="00E26783" w:rsidRPr="00816FE0" w:rsidRDefault="00E26783" w:rsidP="009D040D">
      <w:pPr>
        <w:jc w:val="left"/>
        <w:rPr>
          <w:b/>
          <w:bCs/>
          <w:sz w:val="24"/>
          <w:szCs w:val="24"/>
        </w:rPr>
      </w:pPr>
      <w:r w:rsidRPr="00816FE0">
        <w:rPr>
          <w:rFonts w:hint="eastAsia"/>
          <w:b/>
          <w:bCs/>
          <w:sz w:val="24"/>
          <w:szCs w:val="24"/>
        </w:rPr>
        <w:t>Result and Discussion</w:t>
      </w:r>
    </w:p>
    <w:p w14:paraId="749C3304" w14:textId="7C4B39AA" w:rsidR="00273A10" w:rsidRDefault="00816FE0" w:rsidP="00273A10">
      <w:pPr>
        <w:ind w:firstLineChars="200" w:firstLine="480"/>
        <w:rPr>
          <w:sz w:val="24"/>
          <w:szCs w:val="24"/>
        </w:rPr>
      </w:pPr>
      <w:r w:rsidRPr="00404035">
        <w:rPr>
          <w:sz w:val="24"/>
          <w:szCs w:val="24"/>
        </w:rPr>
        <w:t>From 202</w:t>
      </w:r>
      <w:r w:rsidR="001C0873">
        <w:rPr>
          <w:rFonts w:hint="eastAsia"/>
          <w:sz w:val="24"/>
          <w:szCs w:val="24"/>
        </w:rPr>
        <w:t>2</w:t>
      </w:r>
      <w:r w:rsidRPr="00404035">
        <w:rPr>
          <w:sz w:val="24"/>
          <w:szCs w:val="24"/>
        </w:rPr>
        <w:t xml:space="preserve"> to 2025, the mantle length of neon flying squid ranged approximately from 110 to 490 mm. The size composition showed a unimodal distribution, with the highest frequency occurring around 220 mm. Most individuals were concentrated between 180 and 250 mm, indicating that medium-sized individuals dominated the samples. Individuals smaller than 150 mm or larger than 300 mm occurred at relatively low frequencies. The distribution was slightly right-skewed, with a long tail extending toward larger mantle length classes</w:t>
      </w:r>
      <w:r w:rsidR="00862366">
        <w:rPr>
          <w:rFonts w:hint="eastAsia"/>
          <w:sz w:val="24"/>
          <w:szCs w:val="24"/>
        </w:rPr>
        <w:t xml:space="preserve"> </w:t>
      </w:r>
      <w:r w:rsidR="00404035" w:rsidRPr="00404035">
        <w:rPr>
          <w:rFonts w:hint="eastAsia"/>
          <w:sz w:val="24"/>
          <w:szCs w:val="24"/>
        </w:rPr>
        <w:t>(Fig.</w:t>
      </w:r>
      <w:r w:rsidR="007E0A33">
        <w:rPr>
          <w:rFonts w:hint="eastAsia"/>
          <w:sz w:val="24"/>
          <w:szCs w:val="24"/>
        </w:rPr>
        <w:t>2</w:t>
      </w:r>
      <w:r w:rsidR="00404035" w:rsidRPr="00404035">
        <w:rPr>
          <w:rFonts w:hint="eastAsia"/>
          <w:sz w:val="24"/>
          <w:szCs w:val="24"/>
        </w:rPr>
        <w:t xml:space="preserve">). </w:t>
      </w:r>
      <w:r w:rsidR="001C0873" w:rsidRPr="001C0873">
        <w:rPr>
          <w:sz w:val="24"/>
          <w:szCs w:val="24"/>
        </w:rPr>
        <w:t>Annual differences were observed in the mantle length composition of neon flying squid from 2022 to 2025. In 2022, the mantle length distribution showed a relatively broad and discontinuous pattern, with individuals distributed mainly in two size ranges: approximately 160–230 mm and 350–430 mm. This indicate</w:t>
      </w:r>
      <w:r w:rsidR="001C0873" w:rsidRPr="001C0873">
        <w:rPr>
          <w:rFonts w:hint="eastAsia"/>
          <w:sz w:val="24"/>
          <w:szCs w:val="24"/>
        </w:rPr>
        <w:t>d</w:t>
      </w:r>
      <w:r w:rsidR="001C0873" w:rsidRPr="001C0873">
        <w:rPr>
          <w:sz w:val="24"/>
          <w:szCs w:val="24"/>
        </w:rPr>
        <w:t xml:space="preserve"> that both </w:t>
      </w:r>
      <w:r w:rsidR="001C0873">
        <w:rPr>
          <w:rFonts w:hint="eastAsia"/>
          <w:sz w:val="24"/>
          <w:szCs w:val="24"/>
        </w:rPr>
        <w:t xml:space="preserve">winter-spring cohort </w:t>
      </w:r>
      <w:r w:rsidR="001C0873" w:rsidRPr="001C0873">
        <w:rPr>
          <w:sz w:val="24"/>
          <w:szCs w:val="24"/>
        </w:rPr>
        <w:t xml:space="preserve">and </w:t>
      </w:r>
      <w:r w:rsidR="001C0873">
        <w:rPr>
          <w:rFonts w:hint="eastAsia"/>
          <w:sz w:val="24"/>
          <w:szCs w:val="24"/>
        </w:rPr>
        <w:t>autumn cohort</w:t>
      </w:r>
      <w:r w:rsidR="001C0873" w:rsidRPr="001C0873">
        <w:rPr>
          <w:sz w:val="24"/>
          <w:szCs w:val="24"/>
        </w:rPr>
        <w:t xml:space="preserve"> individuals were present in the 2022 samples</w:t>
      </w:r>
      <w:r w:rsidR="001C0873" w:rsidRPr="001C0873">
        <w:rPr>
          <w:rFonts w:hint="eastAsia"/>
          <w:sz w:val="24"/>
          <w:szCs w:val="24"/>
        </w:rPr>
        <w:t xml:space="preserve"> (Fig.</w:t>
      </w:r>
      <w:r w:rsidR="007E0A33">
        <w:rPr>
          <w:rFonts w:hint="eastAsia"/>
          <w:sz w:val="24"/>
          <w:szCs w:val="24"/>
        </w:rPr>
        <w:t>3</w:t>
      </w:r>
      <w:r w:rsidR="001C0873" w:rsidRPr="001C0873">
        <w:rPr>
          <w:rFonts w:hint="eastAsia"/>
          <w:sz w:val="24"/>
          <w:szCs w:val="24"/>
        </w:rPr>
        <w:t>)</w:t>
      </w:r>
      <w:r w:rsidR="001C0873" w:rsidRPr="001C0873">
        <w:rPr>
          <w:sz w:val="24"/>
          <w:szCs w:val="24"/>
        </w:rPr>
        <w:t>.</w:t>
      </w:r>
      <w:r w:rsidR="001C0873" w:rsidRPr="001C0873">
        <w:rPr>
          <w:color w:val="0070C0"/>
          <w:sz w:val="24"/>
          <w:szCs w:val="24"/>
        </w:rPr>
        <w:t xml:space="preserve"> </w:t>
      </w:r>
      <w:r w:rsidR="00067A99" w:rsidRPr="00CF3B6E">
        <w:rPr>
          <w:sz w:val="24"/>
          <w:szCs w:val="24"/>
        </w:rPr>
        <w:t>The overall length–weight relationship indicated that body weight increased with mantle length in neon flying squid. The total b value close to 3 suggest</w:t>
      </w:r>
      <w:r w:rsidR="001C0873">
        <w:rPr>
          <w:rFonts w:hint="eastAsia"/>
          <w:sz w:val="24"/>
          <w:szCs w:val="24"/>
        </w:rPr>
        <w:t>ed</w:t>
      </w:r>
      <w:r w:rsidR="00067A99" w:rsidRPr="00CF3B6E">
        <w:rPr>
          <w:sz w:val="24"/>
          <w:szCs w:val="24"/>
        </w:rPr>
        <w:t xml:space="preserve"> that the sampled population generally followed an isometric growth pattern. However, the annual variation in b values indicate</w:t>
      </w:r>
      <w:r w:rsidR="001C0873">
        <w:rPr>
          <w:rFonts w:hint="eastAsia"/>
          <w:sz w:val="24"/>
          <w:szCs w:val="24"/>
        </w:rPr>
        <w:t>d</w:t>
      </w:r>
      <w:r w:rsidR="00067A99" w:rsidRPr="00CF3B6E">
        <w:rPr>
          <w:sz w:val="24"/>
          <w:szCs w:val="24"/>
        </w:rPr>
        <w:t xml:space="preserve"> differences in growth condition among years. The positive allometric growth observed in 2022 and 2025</w:t>
      </w:r>
      <w:r w:rsidR="00067A99">
        <w:rPr>
          <w:rFonts w:hint="eastAsia"/>
          <w:sz w:val="24"/>
          <w:szCs w:val="24"/>
        </w:rPr>
        <w:t xml:space="preserve"> </w:t>
      </w:r>
      <w:r w:rsidR="00067A99" w:rsidRPr="007030A4">
        <w:rPr>
          <w:sz w:val="24"/>
          <w:szCs w:val="24"/>
        </w:rPr>
        <w:t>(b = 3.415</w:t>
      </w:r>
      <w:r w:rsidR="00067A99">
        <w:rPr>
          <w:rFonts w:hint="eastAsia"/>
          <w:sz w:val="24"/>
          <w:szCs w:val="24"/>
        </w:rPr>
        <w:t xml:space="preserve">, </w:t>
      </w:r>
      <w:r w:rsidR="00067A99" w:rsidRPr="007030A4">
        <w:rPr>
          <w:sz w:val="24"/>
          <w:szCs w:val="24"/>
        </w:rPr>
        <w:t>b = 3.331)</w:t>
      </w:r>
      <w:r w:rsidR="00067A99" w:rsidRPr="00CF3B6E">
        <w:rPr>
          <w:sz w:val="24"/>
          <w:szCs w:val="24"/>
        </w:rPr>
        <w:t xml:space="preserve"> suggest</w:t>
      </w:r>
      <w:r w:rsidR="00067A99">
        <w:rPr>
          <w:rFonts w:hint="eastAsia"/>
          <w:sz w:val="24"/>
          <w:szCs w:val="24"/>
        </w:rPr>
        <w:t>ed</w:t>
      </w:r>
      <w:r w:rsidR="00067A99" w:rsidRPr="00CF3B6E">
        <w:rPr>
          <w:sz w:val="24"/>
          <w:szCs w:val="24"/>
        </w:rPr>
        <w:t xml:space="preserve"> that larger individuals were relatively heavier, whereas the negative allometric growth in 2023 and 2024</w:t>
      </w:r>
      <w:r w:rsidR="00067A99">
        <w:rPr>
          <w:rFonts w:hint="eastAsia"/>
          <w:sz w:val="24"/>
          <w:szCs w:val="24"/>
        </w:rPr>
        <w:t xml:space="preserve"> </w:t>
      </w:r>
      <w:r w:rsidR="00067A99" w:rsidRPr="007030A4">
        <w:rPr>
          <w:sz w:val="24"/>
          <w:szCs w:val="24"/>
        </w:rPr>
        <w:t>(b = 2.712</w:t>
      </w:r>
      <w:r w:rsidR="00067A99">
        <w:rPr>
          <w:rFonts w:hint="eastAsia"/>
          <w:sz w:val="24"/>
          <w:szCs w:val="24"/>
        </w:rPr>
        <w:t xml:space="preserve">, </w:t>
      </w:r>
      <w:r w:rsidR="00067A99" w:rsidRPr="007030A4">
        <w:rPr>
          <w:sz w:val="24"/>
          <w:szCs w:val="24"/>
        </w:rPr>
        <w:t>b = 2.817)</w:t>
      </w:r>
      <w:r w:rsidR="00067A99" w:rsidRPr="00CF3B6E">
        <w:rPr>
          <w:sz w:val="24"/>
          <w:szCs w:val="24"/>
        </w:rPr>
        <w:t xml:space="preserve"> may reflect lower body condition or a higher proportion of smaller and developing individuals. The result for 2022 should be interpreted with caution because of the relatively small sample size</w:t>
      </w:r>
      <w:r w:rsidR="00300E7B">
        <w:rPr>
          <w:rFonts w:hint="eastAsia"/>
          <w:sz w:val="24"/>
          <w:szCs w:val="24"/>
        </w:rPr>
        <w:t xml:space="preserve"> </w:t>
      </w:r>
      <w:r w:rsidR="00CE493C">
        <w:rPr>
          <w:rFonts w:hint="eastAsia"/>
          <w:sz w:val="24"/>
          <w:szCs w:val="24"/>
        </w:rPr>
        <w:t>(Fig.</w:t>
      </w:r>
      <w:r w:rsidR="007E0A33">
        <w:rPr>
          <w:rFonts w:hint="eastAsia"/>
          <w:sz w:val="24"/>
          <w:szCs w:val="24"/>
        </w:rPr>
        <w:t>4</w:t>
      </w:r>
      <w:r w:rsidR="00CE493C">
        <w:rPr>
          <w:rFonts w:hint="eastAsia"/>
          <w:sz w:val="24"/>
          <w:szCs w:val="24"/>
        </w:rPr>
        <w:t>)</w:t>
      </w:r>
      <w:r w:rsidR="00300E7B">
        <w:rPr>
          <w:rFonts w:hint="eastAsia"/>
          <w:sz w:val="24"/>
          <w:szCs w:val="24"/>
        </w:rPr>
        <w:t>.</w:t>
      </w:r>
    </w:p>
    <w:p w14:paraId="12609FF0" w14:textId="41B089CE" w:rsidR="008A2F13" w:rsidRPr="00404035" w:rsidRDefault="00404035" w:rsidP="00E25085">
      <w:pPr>
        <w:ind w:firstLineChars="200" w:firstLine="480"/>
        <w:rPr>
          <w:sz w:val="24"/>
          <w:szCs w:val="24"/>
        </w:rPr>
      </w:pPr>
      <w:r w:rsidRPr="00404035">
        <w:rPr>
          <w:sz w:val="24"/>
          <w:szCs w:val="24"/>
        </w:rPr>
        <w:t xml:space="preserve">The mantle length distributions of female and male neon flying squid showed a similar unimodal pattern. Most individuals of both sexes were concentrated between 180 and 250 mm, with peak frequencies occurring around 210–230 mm. </w:t>
      </w:r>
      <w:r w:rsidR="00715616">
        <w:rPr>
          <w:rFonts w:hint="eastAsia"/>
          <w:sz w:val="24"/>
          <w:szCs w:val="24"/>
        </w:rPr>
        <w:t>However, f</w:t>
      </w:r>
      <w:r w:rsidRPr="00404035">
        <w:rPr>
          <w:sz w:val="24"/>
          <w:szCs w:val="24"/>
        </w:rPr>
        <w:t xml:space="preserve">emale </w:t>
      </w:r>
      <w:r w:rsidR="00715616">
        <w:rPr>
          <w:rFonts w:hint="eastAsia"/>
          <w:sz w:val="24"/>
          <w:szCs w:val="24"/>
        </w:rPr>
        <w:t>individuals</w:t>
      </w:r>
      <w:r w:rsidRPr="00404035">
        <w:rPr>
          <w:sz w:val="24"/>
          <w:szCs w:val="24"/>
        </w:rPr>
        <w:t xml:space="preserve"> showed a slightly higher frequency at the modal length class and a longer right tail in the distribution. Individuals larger than 300 mm were mainly represented by females, whereas males were less frequent in the larger mantle length classes</w:t>
      </w:r>
      <w:r w:rsidR="00862366">
        <w:rPr>
          <w:rFonts w:hint="eastAsia"/>
          <w:sz w:val="24"/>
          <w:szCs w:val="24"/>
        </w:rPr>
        <w:t xml:space="preserve"> (Fig.</w:t>
      </w:r>
      <w:r w:rsidR="007E0A33">
        <w:rPr>
          <w:rFonts w:hint="eastAsia"/>
          <w:sz w:val="24"/>
          <w:szCs w:val="24"/>
        </w:rPr>
        <w:t>5</w:t>
      </w:r>
      <w:r w:rsidR="00862366">
        <w:rPr>
          <w:rFonts w:hint="eastAsia"/>
          <w:sz w:val="24"/>
          <w:szCs w:val="24"/>
        </w:rPr>
        <w:t>)</w:t>
      </w:r>
      <w:r w:rsidRPr="00404035">
        <w:rPr>
          <w:sz w:val="24"/>
          <w:szCs w:val="24"/>
        </w:rPr>
        <w:t>.</w:t>
      </w:r>
      <w:r w:rsidR="00627D9C">
        <w:rPr>
          <w:rFonts w:hint="eastAsia"/>
          <w:sz w:val="24"/>
          <w:szCs w:val="24"/>
        </w:rPr>
        <w:t xml:space="preserve"> </w:t>
      </w:r>
      <w:r w:rsidR="00793413" w:rsidRPr="00793413">
        <w:rPr>
          <w:sz w:val="24"/>
          <w:szCs w:val="24"/>
        </w:rPr>
        <w:t xml:space="preserve">The sex composition varied among maturity stages. At maturity stages 1 and 2, the proportions of females and males were relatively similar, with females accounting for 54.4% and 51.9%, respectively. However, the proportion of males increased with maturity stage. Males accounted for 64.5% at stage 3 and 87.5% at stage 4, and all individuals at stage 5 were males. This pattern suggests that males were more frequently represented in advanced </w:t>
      </w:r>
      <w:r w:rsidR="00793413" w:rsidRPr="00793413">
        <w:rPr>
          <w:sz w:val="24"/>
          <w:szCs w:val="24"/>
        </w:rPr>
        <w:lastRenderedPageBreak/>
        <w:t xml:space="preserve">maturity stages in the present samples. However, the high male proportion at stages 4 and 5 should be interpreted with caution, as these stages may have been represented by a limited number of individuals </w:t>
      </w:r>
      <w:r w:rsidR="00DD22E6">
        <w:rPr>
          <w:rFonts w:hint="eastAsia"/>
          <w:sz w:val="24"/>
          <w:szCs w:val="24"/>
        </w:rPr>
        <w:t>(Fig.</w:t>
      </w:r>
      <w:r w:rsidR="007E0A33">
        <w:rPr>
          <w:rFonts w:hint="eastAsia"/>
          <w:sz w:val="24"/>
          <w:szCs w:val="24"/>
        </w:rPr>
        <w:t>6</w:t>
      </w:r>
      <w:r w:rsidR="00DD22E6">
        <w:rPr>
          <w:rFonts w:hint="eastAsia"/>
          <w:sz w:val="24"/>
          <w:szCs w:val="24"/>
        </w:rPr>
        <w:t>).</w:t>
      </w:r>
      <w:r w:rsidR="00793413">
        <w:rPr>
          <w:rFonts w:hint="eastAsia"/>
          <w:sz w:val="24"/>
          <w:szCs w:val="24"/>
        </w:rPr>
        <w:t xml:space="preserve"> </w:t>
      </w:r>
      <w:r w:rsidR="00A91C99">
        <w:rPr>
          <w:rFonts w:hint="eastAsia"/>
          <w:sz w:val="24"/>
          <w:szCs w:val="24"/>
        </w:rPr>
        <w:t xml:space="preserve">Figure </w:t>
      </w:r>
      <w:r w:rsidR="007E0A33">
        <w:rPr>
          <w:rFonts w:hint="eastAsia"/>
          <w:sz w:val="24"/>
          <w:szCs w:val="24"/>
        </w:rPr>
        <w:t>7</w:t>
      </w:r>
      <w:r w:rsidR="00A91C99">
        <w:rPr>
          <w:rFonts w:hint="eastAsia"/>
          <w:sz w:val="24"/>
          <w:szCs w:val="24"/>
        </w:rPr>
        <w:t xml:space="preserve"> showed that t</w:t>
      </w:r>
      <w:r w:rsidR="00A91C99" w:rsidRPr="00A91C99">
        <w:rPr>
          <w:sz w:val="24"/>
          <w:szCs w:val="24"/>
        </w:rPr>
        <w:t xml:space="preserve">he distribution of maturity stages varied with mantle length. Individuals at maturity stages 1 and 2 were mainly distributed between 160 and 250 mm, whereas individuals at higher maturity stages were more frequently observed in larger mantle length classes. </w:t>
      </w:r>
      <w:r w:rsidR="00715616" w:rsidRPr="00715616">
        <w:rPr>
          <w:sz w:val="24"/>
          <w:szCs w:val="24"/>
        </w:rPr>
        <w:t>Overall, the results indicate that larger individuals tended to show more advanced gonadal development. Specifically, mature individuals were primarily found at larger sizes; however, the extremely high frequency observed at 350 mm should be interpreted cautiously due to the small sample size of individuals at maturity stage 5</w:t>
      </w:r>
      <w:r w:rsidR="00715616">
        <w:rPr>
          <w:rFonts w:hint="eastAsia"/>
          <w:sz w:val="24"/>
          <w:szCs w:val="24"/>
        </w:rPr>
        <w:t>.</w:t>
      </w:r>
      <w:r w:rsidR="00A91C99" w:rsidRPr="00A91C99">
        <w:rPr>
          <w:sz w:val="24"/>
          <w:szCs w:val="24"/>
        </w:rPr>
        <w:t xml:space="preserve"> </w:t>
      </w:r>
      <w:r w:rsidR="00A70DB0" w:rsidRPr="00A70DB0">
        <w:rPr>
          <w:sz w:val="24"/>
          <w:szCs w:val="24"/>
        </w:rPr>
        <w:t>Annual differences were observed in the mantle length composition and maturity stages. In 2023, individuals were mainly concentrated between 190 and 260 mm, with the highest frequency occurring around 220 mm. In 2024, the mantle length distribution shifted toward smaller size classes, mainly ranging from 160 to 240 mm. In 2025, most individuals were distributed between 170 and 230 mm, but a long right tail was observed, indicating the presence of a small number of large individuals. Most individuals from 2023 to 2025 were at maturity stages 1 and 2, while higher maturity stages were mainly observed in larger mantle length classes</w:t>
      </w:r>
      <w:r w:rsidR="00225945">
        <w:rPr>
          <w:rFonts w:hint="eastAsia"/>
          <w:sz w:val="24"/>
          <w:szCs w:val="24"/>
        </w:rPr>
        <w:t xml:space="preserve"> (Fig.</w:t>
      </w:r>
      <w:r w:rsidR="007E0A33">
        <w:rPr>
          <w:rFonts w:hint="eastAsia"/>
          <w:sz w:val="24"/>
          <w:szCs w:val="24"/>
        </w:rPr>
        <w:t>8</w:t>
      </w:r>
      <w:r w:rsidR="00225945">
        <w:rPr>
          <w:rFonts w:hint="eastAsia"/>
          <w:sz w:val="24"/>
          <w:szCs w:val="24"/>
        </w:rPr>
        <w:t>)</w:t>
      </w:r>
      <w:r w:rsidR="00A70DB0" w:rsidRPr="00A70DB0">
        <w:rPr>
          <w:sz w:val="24"/>
          <w:szCs w:val="24"/>
        </w:rPr>
        <w:t>.</w:t>
      </w:r>
    </w:p>
    <w:p w14:paraId="7555A3AA" w14:textId="430D5FE3" w:rsidR="00273A10" w:rsidRPr="00CF3B6E" w:rsidRDefault="00816FE0" w:rsidP="00CF3B6E">
      <w:pPr>
        <w:ind w:firstLineChars="200" w:firstLine="480"/>
      </w:pPr>
      <w:r w:rsidRPr="00404035">
        <w:rPr>
          <w:sz w:val="24"/>
          <w:szCs w:val="24"/>
        </w:rPr>
        <w:t>The dominance of individuals in the 180–250 mm mantle length range suggest</w:t>
      </w:r>
      <w:r w:rsidR="00D514BC">
        <w:rPr>
          <w:rFonts w:hint="eastAsia"/>
          <w:sz w:val="24"/>
          <w:szCs w:val="24"/>
        </w:rPr>
        <w:t>ed</w:t>
      </w:r>
      <w:r w:rsidRPr="00404035">
        <w:rPr>
          <w:sz w:val="24"/>
          <w:szCs w:val="24"/>
        </w:rPr>
        <w:t xml:space="preserve"> that the sampled squid population was mainly composed of </w:t>
      </w:r>
      <w:r w:rsidR="00852DD5">
        <w:rPr>
          <w:rFonts w:hint="eastAsia"/>
          <w:sz w:val="24"/>
          <w:szCs w:val="24"/>
        </w:rPr>
        <w:t>winter</w:t>
      </w:r>
      <w:r w:rsidR="00527366">
        <w:rPr>
          <w:rFonts w:hint="eastAsia"/>
          <w:sz w:val="24"/>
          <w:szCs w:val="24"/>
        </w:rPr>
        <w:t>-spring cohort</w:t>
      </w:r>
      <w:r w:rsidRPr="00404035">
        <w:rPr>
          <w:sz w:val="24"/>
          <w:szCs w:val="24"/>
        </w:rPr>
        <w:t xml:space="preserve"> individuals </w:t>
      </w:r>
      <w:r w:rsidR="008F2357">
        <w:rPr>
          <w:rFonts w:hint="eastAsia"/>
          <w:sz w:val="24"/>
          <w:szCs w:val="24"/>
        </w:rPr>
        <w:t xml:space="preserve">with low sexual maturity stages </w:t>
      </w:r>
      <w:r w:rsidRPr="00404035">
        <w:rPr>
          <w:sz w:val="24"/>
          <w:szCs w:val="24"/>
        </w:rPr>
        <w:t xml:space="preserve">during the survey period. </w:t>
      </w:r>
      <w:r w:rsidRPr="00852DD5">
        <w:rPr>
          <w:sz w:val="24"/>
          <w:szCs w:val="24"/>
        </w:rPr>
        <w:t>The low proportion of large individuals</w:t>
      </w:r>
      <w:r w:rsidR="00C43F75">
        <w:rPr>
          <w:rFonts w:hint="eastAsia"/>
          <w:sz w:val="24"/>
          <w:szCs w:val="24"/>
        </w:rPr>
        <w:t xml:space="preserve"> (</w:t>
      </w:r>
      <w:r w:rsidR="008F2357">
        <w:rPr>
          <w:rFonts w:hint="eastAsia"/>
          <w:sz w:val="24"/>
          <w:szCs w:val="24"/>
        </w:rPr>
        <w:t xml:space="preserve">mantle length </w:t>
      </w:r>
      <w:r w:rsidR="00C43F75">
        <w:rPr>
          <w:rFonts w:hint="eastAsia"/>
          <w:sz w:val="24"/>
          <w:szCs w:val="24"/>
        </w:rPr>
        <w:t>&gt; 300 mm)</w:t>
      </w:r>
      <w:r w:rsidRPr="00852DD5">
        <w:rPr>
          <w:sz w:val="24"/>
          <w:szCs w:val="24"/>
        </w:rPr>
        <w:t xml:space="preserve"> may indicate that fully grown or mature individuals were less represented in the jigging samples.</w:t>
      </w:r>
      <w:r w:rsidRPr="00404035">
        <w:rPr>
          <w:sz w:val="24"/>
          <w:szCs w:val="24"/>
        </w:rPr>
        <w:t xml:space="preserve"> </w:t>
      </w:r>
      <w:r w:rsidR="007B19CA" w:rsidRPr="007B19CA">
        <w:rPr>
          <w:sz w:val="24"/>
          <w:szCs w:val="24"/>
        </w:rPr>
        <w:t>Previous studies suggested that the</w:t>
      </w:r>
      <w:r w:rsidR="007B19CA">
        <w:rPr>
          <w:rFonts w:hint="eastAsia"/>
          <w:sz w:val="24"/>
          <w:szCs w:val="24"/>
        </w:rPr>
        <w:t xml:space="preserve"> </w:t>
      </w:r>
      <w:r w:rsidR="007B19CA" w:rsidRPr="007B19CA">
        <w:rPr>
          <w:sz w:val="24"/>
          <w:szCs w:val="24"/>
        </w:rPr>
        <w:t xml:space="preserve">winter–spring cohort of neon flying squid generally begins to enter the feeding grounds in the </w:t>
      </w:r>
      <w:r w:rsidR="005113A3">
        <w:rPr>
          <w:rFonts w:hint="eastAsia"/>
          <w:sz w:val="24"/>
          <w:szCs w:val="24"/>
        </w:rPr>
        <w:t>N</w:t>
      </w:r>
      <w:r w:rsidR="007B19CA" w:rsidRPr="007B19CA">
        <w:rPr>
          <w:sz w:val="24"/>
          <w:szCs w:val="24"/>
        </w:rPr>
        <w:t>orthwest Pacific in July, with abundance increasing toward August and peaking during August</w:t>
      </w:r>
      <w:r w:rsidR="00235D61">
        <w:rPr>
          <w:rFonts w:hint="eastAsia"/>
          <w:sz w:val="24"/>
          <w:szCs w:val="24"/>
        </w:rPr>
        <w:t xml:space="preserve"> to </w:t>
      </w:r>
      <w:r w:rsidR="007B19CA" w:rsidRPr="007B19CA">
        <w:rPr>
          <w:sz w:val="24"/>
          <w:szCs w:val="24"/>
        </w:rPr>
        <w:t>October. Therefore, the July samples in this study may represent the early stage of feeding migration</w:t>
      </w:r>
      <w:r w:rsidR="007B19CA">
        <w:rPr>
          <w:rFonts w:hint="eastAsia"/>
          <w:sz w:val="24"/>
          <w:szCs w:val="24"/>
        </w:rPr>
        <w:t>, which may account for the absence of large individuals</w:t>
      </w:r>
      <w:r w:rsidR="007B19CA">
        <w:rPr>
          <w:sz w:val="24"/>
          <w:szCs w:val="24"/>
        </w:rPr>
        <w:fldChar w:fldCharType="begin"/>
      </w:r>
      <w:r w:rsidR="00CF3B6E">
        <w:rPr>
          <w:sz w:val="24"/>
          <w:szCs w:val="24"/>
        </w:rPr>
        <w:instrText xml:space="preserve"> ADDIN ZOTERO_ITEM CSL_CITATION {"citationID":"IcWX5H44","properties":{"unsorted":false,"formattedCitation":"(Gong et al., 2021; Wang et al., 2022)","plainCitation":"(Gong et al., 2021; Wang et al., 2022)","noteIndex":0},"citationItems":[{"id":845,"uris":</w:instrText>
      </w:r>
      <w:r w:rsidR="00CF3B6E">
        <w:rPr>
          <w:rFonts w:hint="eastAsia"/>
          <w:sz w:val="24"/>
          <w:szCs w:val="24"/>
        </w:rPr>
        <w:instrText>["http://zotero.org/users/local/RhVZRVQu/items/HEH4YIS7"],"itemData":{"id":845,"type":"article-journal","abstract":"Climate</w:instrText>
      </w:r>
      <w:r w:rsidR="00CF3B6E">
        <w:rPr>
          <w:rFonts w:hint="eastAsia"/>
          <w:sz w:val="24"/>
          <w:szCs w:val="24"/>
        </w:rPr>
        <w:instrText>‐</w:instrText>
      </w:r>
      <w:r w:rsidR="00CF3B6E">
        <w:rPr>
          <w:rFonts w:hint="eastAsia"/>
          <w:sz w:val="24"/>
          <w:szCs w:val="24"/>
        </w:rPr>
        <w:instrText>driven changes in the marine environment can impact the distribution and abundance of marine species. Here, we combined available c</w:instrText>
      </w:r>
      <w:r w:rsidR="00CF3B6E">
        <w:rPr>
          <w:sz w:val="24"/>
          <w:szCs w:val="24"/>
        </w:rPr>
        <w:instrText xml:space="preserve">ommercial fishery data of the neon flying squid Ommastrephes bartramii in the traditional fishing grounds in the northwest Pacific Ocean collected by Chinese squid jigging vessels between 1996 and 2005 with the dominant environmental climate factors affecting its distribution. Fishery and dominant environmental climate factors were incorporated into a species distribution model (maximum entropy model, MaxEnt) to describe the suitable habitats for neon flying squid. Two climate change scenarios (RCP4.5 and RCP8.5) from the Community Earth System Model Version 1 were used with MaxEnt to project the future distribution of environmental suitability for neon flying squid. Results indicated that suitable neon flying squid habitat moved northward under climate change, and the projected area of suitable habitat decreased by the end of the century. Projections revealed that suitable habitats for neon flying squid will almost disappear between July and September by 2095 in RCP4.5, and between July and November (except in October, which increased by about 34%) in RCP8.5. These findings suggest that the fishing season for neon flying squid might be delayed and the total fishing time might be shortened. We suggest that adaptive fisheries management strategies, such as controlling fishing effort and setting a closed season, should be established as soon as possible in response to climate changes in the North Pacific Ocean.","container-title":"Marine and Coastal Fisheries","DOI":"10.1002/mcf2.10170","ISSN":"1942-5120","issue":"5","page":"450-462","source":"Silverchair","title":"The Change Characteristics of Potential Habitat and Fishing Season for Neon Flying Squid in the Northwest Pacific Ocean under Future Climate Change Scenarios","volume":"13","author":[{"family":"Gong","given":"Caixia"},{"family":"Chen","given":"Xinjun"},{"family":"Gao","given":"Feng"},{"family":"Yu","given":"Wei"}],"issued":{"date-parts":[["2021",8,1]]}}},{"id":843,"uris":["http://zotero.org/users/local/RhVZRVQu/items/LAMW9G2B"],"itemData":{"id":843,"type":"article-journal","abstract":"Ommastrephes bartramii can vertically swim during its life and previous studies have suggested the need to account for preferred habitat distribution influenced by water temperatures at different depths. To explore impacts of deep-water temperature on O. bartramii spatial distribution, we constructed generalized additive models (GAM) based on Chinese squid-jigging fishery data and the Argo deep water temperature data during 2005-2018 in the Northwest Pacific Ocean to analysis the relationships between the local abundance of O. bartramii and deep-water temperatures. The results showed that the variables including surface water temperature (T0), water temperature at 30-meter and 100-meter depths (T30, T100), and water differences between T0 and T30 (D0-30) significantly affected the O. bartramii spatial distribution. The suitable ranges of each variable are different, &gt; 15.5 °C for T0, 11 – 18 °C for T30, &lt; 6 °C for T100 and 4 – 4.5 °C for D0-30. The areas occupied by the suitable T30 seemed to reflect the outline of fishing ground, whereas the areas with suitable T100 were to indicate the high density of O. bartramii. The predicted suitable habitat area and high-density area for O. bartramii also regulated by ENSO events. We demonstrate how estimates of O. bartramii spatial distribution would vary influenced by deep-water temperatures in the Northwest Pacific Ocean. This information may help develop appropriate method for investigating effects of deep-water temperature on species with vertical migration.","container-title":"Frontiers in Marine Science","DOI":"10.3389/fmars.2021.741620","ISSN":"2296-7745","journalAbbreviation":"Front. Mar. Sci.","language":"English","publisher":"Frontiers","source":"Frontiers","title":"Water Temperature at Different Depths Affects the Distribution of Neon Flying Squid (Ommastrephes bartramii) in the Northwest Pacific Ocean","URL":"https://www.frontiersin.org/journals/marine-science/articles/10.3389/fmars.2021.741620/full","volume":"8","author":[{"family":"Wang","given":"Jintao"},{"family":"Cheng","given":"Yiqi"},{"family":"Lu","given":"Huajie"},{"family":"Chen","given":"Xinjun"},{"family":"Lin","given":"Lei"},{"family":"Zhang","given":"Junbo"}],"accessed":{"date-parts":[["2026",7,5]]},"issued":{"date-parts":[["2022",1,25]]}}}],"schema":"https://github.com/citation-style-language/schema/raw/master/csl-citation.json"} </w:instrText>
      </w:r>
      <w:r w:rsidR="007B19CA">
        <w:rPr>
          <w:sz w:val="24"/>
          <w:szCs w:val="24"/>
        </w:rPr>
        <w:fldChar w:fldCharType="separate"/>
      </w:r>
      <w:r w:rsidR="00CF3B6E" w:rsidRPr="00CF3B6E">
        <w:rPr>
          <w:rFonts w:cs="Times New Roman"/>
          <w:sz w:val="24"/>
        </w:rPr>
        <w:t>(Gong et al., 2021; Wang et al., 2022)</w:t>
      </w:r>
      <w:r w:rsidR="007B19CA">
        <w:rPr>
          <w:sz w:val="24"/>
          <w:szCs w:val="24"/>
        </w:rPr>
        <w:fldChar w:fldCharType="end"/>
      </w:r>
      <w:r w:rsidR="007B19CA" w:rsidRPr="007B19CA">
        <w:rPr>
          <w:sz w:val="24"/>
          <w:szCs w:val="24"/>
        </w:rPr>
        <w:t>.</w:t>
      </w:r>
      <w:r w:rsidR="007B19CA">
        <w:rPr>
          <w:rFonts w:hint="eastAsia"/>
          <w:sz w:val="24"/>
          <w:szCs w:val="24"/>
        </w:rPr>
        <w:t xml:space="preserve"> </w:t>
      </w:r>
    </w:p>
    <w:p w14:paraId="2BE7180B" w14:textId="0F7BDED4" w:rsidR="000A2E57" w:rsidRDefault="008A2F13" w:rsidP="004E3EAF">
      <w:pPr>
        <w:ind w:firstLineChars="200" w:firstLine="480"/>
        <w:rPr>
          <w:color w:val="000000" w:themeColor="text1"/>
          <w:sz w:val="24"/>
          <w:szCs w:val="24"/>
        </w:rPr>
      </w:pPr>
      <w:r>
        <w:rPr>
          <w:rFonts w:hint="eastAsia"/>
          <w:color w:val="000000" w:themeColor="text1"/>
          <w:sz w:val="24"/>
          <w:szCs w:val="24"/>
        </w:rPr>
        <w:t xml:space="preserve">The </w:t>
      </w:r>
      <w:r w:rsidR="000A2E57" w:rsidRPr="000A2E57">
        <w:rPr>
          <w:color w:val="000000" w:themeColor="text1"/>
          <w:sz w:val="24"/>
          <w:szCs w:val="24"/>
        </w:rPr>
        <w:t xml:space="preserve">results </w:t>
      </w:r>
      <w:r w:rsidR="00213E9F">
        <w:rPr>
          <w:rFonts w:hint="eastAsia"/>
          <w:color w:val="000000" w:themeColor="text1"/>
          <w:sz w:val="24"/>
          <w:szCs w:val="24"/>
        </w:rPr>
        <w:t xml:space="preserve">of sexual maturity identification </w:t>
      </w:r>
      <w:r w:rsidR="000A2E57" w:rsidRPr="000A2E57">
        <w:rPr>
          <w:color w:val="000000" w:themeColor="text1"/>
          <w:sz w:val="24"/>
          <w:szCs w:val="24"/>
        </w:rPr>
        <w:t>indicated an apparent sex-specific disparity among the large-sized neon flying squid. Although both sexes shared a broadly similar unimodal distribution with peak frequencies occurring around 210–230 mm, the female mantle length distribution displayed a relatively longer right tail. Individuals exceeding 300 mm in mantle length were mostly females, whereas males were less frequently observed in these larger size classes. The underlying mechanism for this divergence may be associated with differential energy allocation during the maturation process</w:t>
      </w:r>
      <w:r w:rsidR="00067A99">
        <w:rPr>
          <w:color w:val="000000" w:themeColor="text1"/>
          <w:sz w:val="24"/>
          <w:szCs w:val="24"/>
        </w:rPr>
        <w:fldChar w:fldCharType="begin"/>
      </w:r>
      <w:r w:rsidR="00067A99">
        <w:rPr>
          <w:color w:val="000000" w:themeColor="text1"/>
          <w:sz w:val="24"/>
          <w:szCs w:val="24"/>
        </w:rPr>
        <w:instrText xml:space="preserve"> ADDIN ZOTERO_ITEM CSL_CITATION {"citationID":"eAvgQv3m","properties":{"unsorted":false,"formattedCitation":"(Han et al., 2022)","plainCitation":"(Han et al., 2022)","noteIndex":0},"citationItems":[{"id":848,"uris":["http://zotero.org/users/local/RhVZRVQu/items/V26PNTPW"],"itemData":{"id":848,"type":"article-journal","abstract":"Neon flying squid Ommastrephes bartramii and jumbo flying squid Dosidicus gigas are two important commercial ommastrephid species in the Pacific Ocean. As short-lived marine species, squids are highly susceptible to changes in climate and marine environments. According to samples collected from the northwest and southeast Pacific Ocean in different years, we explored the growth characteristics of these two squids in terms of their mantle length (ML) distribution and the relationship between mantle length and body weight (LWR), also considering the relative condition factors (Kn), and explored the effects of the El Niño and Southern Oscillation (ENSO) on their growth. The results showed that the ML for O. bartramii and D. gigas had significant differences among different years and different sexes (p &lt; 0.01), and the size of females was larger than that of males. LWR showed that both squids demonstrated a positive allometric growth pattern (b &gt; 3), and parameters a and b were influenced by year and sex. Furthermore, there were significant differences in Kn in both squids for different years and different sexes (p &lt; 0.01), and their interannual fluctuations were quite significant. In conclusion, the alterations in the marine environment caused by climate change had a significant impact on the growth of O. bartramii and D. gigas in this study. ENSO events had opposite effects on the growth of both squid species.","container-title":"Fishes","DOI":"10.3390/fishes7050280","ISSN":"2410-3888","issue":"5","language":"en","license":"http://creativecommons.org/licenses/by/3.0/","page":"280","publisher":"Multidisciplinary Digital Publishing Institute","source":"www.mdpi.com","title":"Decadal Changes in the Annual Growth of Two Commercial Ommastrephid Species in the Pacific Ocean","volume":"7","author":[{"family":"Han","given":"Peiwu"},{"family":"Li","given":"Jianhua"},{"family":"Dan","given":"Yating"},{"family":"Liu","given":"Bilin"},{"family":"Chen","given":"Xinjun"},{"family":"Fang","given":"Zhou"}],"issued":{"date-parts":[["2022",10]]}}}],"schema":"https://github.com/citation-style-language/schema/raw/master/csl-citation.json"} </w:instrText>
      </w:r>
      <w:r w:rsidR="00067A99">
        <w:rPr>
          <w:color w:val="000000" w:themeColor="text1"/>
          <w:sz w:val="24"/>
          <w:szCs w:val="24"/>
        </w:rPr>
        <w:fldChar w:fldCharType="separate"/>
      </w:r>
      <w:r w:rsidR="00067A99" w:rsidRPr="00067A99">
        <w:rPr>
          <w:rFonts w:cs="Times New Roman"/>
          <w:sz w:val="24"/>
        </w:rPr>
        <w:t>(Han et al., 2022)</w:t>
      </w:r>
      <w:r w:rsidR="00067A99">
        <w:rPr>
          <w:color w:val="000000" w:themeColor="text1"/>
          <w:sz w:val="24"/>
          <w:szCs w:val="24"/>
        </w:rPr>
        <w:fldChar w:fldCharType="end"/>
      </w:r>
      <w:r w:rsidR="000A2E57" w:rsidRPr="000A2E57">
        <w:rPr>
          <w:color w:val="000000" w:themeColor="text1"/>
          <w:sz w:val="24"/>
          <w:szCs w:val="24"/>
        </w:rPr>
        <w:t>. For females, continued somatic growth confers reproductive advantages, as a larger body size and expanded internal cavity volume can accommodate the production of oocytes, thereby enhancing potential fecundity. Conversely, males tend to reach early sexual maturity at a smaller size, potentially shifting their metabolic energy investment from somatic growth to spermatophore production earlier than females</w:t>
      </w:r>
      <w:r w:rsidR="009B688C" w:rsidRPr="009B688C">
        <w:rPr>
          <w:color w:val="000000" w:themeColor="text1"/>
          <w:sz w:val="24"/>
          <w:szCs w:val="24"/>
        </w:rPr>
        <w:fldChar w:fldCharType="begin"/>
      </w:r>
      <w:r w:rsidR="009F671E">
        <w:rPr>
          <w:color w:val="000000" w:themeColor="text1"/>
          <w:sz w:val="24"/>
          <w:szCs w:val="24"/>
        </w:rPr>
        <w:instrText xml:space="preserve"> ADDIN ZOTERO_ITEM CSL_CITATION {"citationID":"4OS15i2u","properties":{"unsorted":false,"formattedCitation":"(Jereb and Roper, 2010; Rocha et al., 2001)","plainCitation":"(Jereb and Roper, 2010; Rocha et al., 2001)","noteIndex":0},"citationItems":[{"id":260,"uris":["http://zotero.org/users/local/RhVZRVQu/items/ACWV6AQJ"],"itemData":{"id":260,"type":"book","abstract":"This is the second volume of the entirely rewritten, revised and updated version of the original FAO Catalogue of Cephalopods of the World (1984). The present Volume is a multiauthored compilation that reviews 28 families, i.e. (in alphabetical order), Ancistrocheiridae, Architeuthidae, Australiteuthidae, Bathyteuthidae, Batoteuthidae, Brachioteuthidae, Chiroteuthidae, Chtenopterygidae, Cranchiidae, Cycloteuthidae, Enoploteuthidae, Gonatidae, Histioteuthidae, Joubiniteuthidae, Lepidoteut hidae, Loliginidae, Lycoteuthidae, Magnapinnidae, Mastigoteuthidae, Neoteuthidae, Octopoteuthidae, Ommastrephidae, Onychoteuthidae, Pholidoteuthidae, Promachoteuthidae, Psychroteuthidae, Pyroteuthidae and Thysanoteuthidae, with 83 genera and the 295 species known and named to the date of the completion of the volume. It provides accounts for all families and genera, as well as illustrated keys. Information under species accounts includes: valid modern systematic name and original citatio n of the species (or subspecies); synonyms; English, French and Spanish FAO names for the species; illustrations of dorsal and ventral aspects of the whole animal (as necessary) and other distinguishing illustrations; field characteristics; diagnostic features; geographic and vertical distribution, including GISmap; size; habitat; biology; interest to fishery; local names when available; a remarks section (as necessary) and literature. The Volume is fully indexed and also includes sectio ns on terminology and measurements, an extensive glossary, an introduction with an updated review of the existing biological knowledge on squids (including fisheries information andmain catch data for recent years) and a dedicated bibliography. Due to the conspicuous amount of literature addressingmany squid species, an appendix is included in the online version, where those references considered most pertinent to the species are listed, by family and species, in alphabetical order by au thor; key words, also, are reported.","ISBN":"978-92-5-106720-8","ISSN":"1020-8682","language":"en","note":"issue: 2\nnumber: 2","number-of-pages":"649","publisher":"FAO","publisher-place":"Rome","source":"oceanrep.geomar.de","title":"Cephalopods of the world - an annotated and illustrated catalogue of cephalopod species known to date. Vol 2. Myopsid and oegopsid squids","author":[{"family":"Jereb","given":"P."},{"family":"Roper","given":"C. F. E."}],"editor":[{"family":"Jereb","given":"P."},{"family":"Roper","given":"C. F. E."}],"issued":{"date-parts":[["2010"]]}}},{"id":814,"uris":["http://zotero.org/users/local/RhVZRVQu/items/LT3YSVQK"],"itemData":{"id":814,"type":"article-journal","abstract":"Cephalopod reproductive strategies are reviewed in order to clarify their current, confusing status. Based on the type of ovulation, spawning pattern and growth between egg batches or spawning periods, five comprehensive and flexible cephalopod reproductive strategies are defined. Accordingly, with these three factors the following classification is proposed. (a) Spawning once (formerly semelparity) consisting of simultaneous terminal spawning, with synchronous ovulation, monocyclic spawning and absence of growth between egg batches. (b) Spawning more than once (formerly iteroparity) including: (i) polycyclic spawning with egg-laying occurring in separate batches during the spawning season and growth occurring between production of egg batches and spawning seasons; (ii) multiple spawning, with group-synchronous ovulation, monocyclic spawning and growth between egg batches; (iii) intermittent terminal spawning, with group-synchronous ovulation, monocyclic spawning and no growth between egg batches; (iv) continuous spawning, with asynchronous ovulation, monocyclic spawning and growth between egg batches. Examples of species exhibiting each of these reproductive strategies are given. The large amount of inter-species variation in several life-history traits related to reproductive events is discussed.","container-title":"Biological Reviews","DOI":"10.1017/S1464793101005681","ISSN":"1469-185X, 1464-7931","issue":"3","language":"en","page":"291-304","source":"Cambridge University Press","title":"A review of reproductive strategies in cephalopods","volume":"76","author":[{"family":"Rocha","given":"Francisco"},{"family":"Guerra","given":"Ángel"},{"family":"González","given":"Ángel F."}],"issued":{"date-parts":[["2001",8]]}}}],"schema":"https://github.com/citation-style-language/schema/raw/master/csl-citation.json"} </w:instrText>
      </w:r>
      <w:r w:rsidR="009B688C" w:rsidRPr="009B688C">
        <w:rPr>
          <w:color w:val="000000" w:themeColor="text1"/>
          <w:sz w:val="24"/>
          <w:szCs w:val="24"/>
        </w:rPr>
        <w:fldChar w:fldCharType="separate"/>
      </w:r>
      <w:r w:rsidR="009F671E" w:rsidRPr="009F671E">
        <w:rPr>
          <w:rFonts w:cs="Times New Roman"/>
          <w:sz w:val="24"/>
        </w:rPr>
        <w:t>(Jereb and Roper, 2010; Rocha et al., 2001)</w:t>
      </w:r>
      <w:r w:rsidR="009B688C" w:rsidRPr="009B688C">
        <w:rPr>
          <w:color w:val="000000" w:themeColor="text1"/>
          <w:sz w:val="24"/>
          <w:szCs w:val="24"/>
        </w:rPr>
        <w:fldChar w:fldCharType="end"/>
      </w:r>
      <w:r w:rsidR="009B688C" w:rsidRPr="009B688C">
        <w:rPr>
          <w:rFonts w:hint="eastAsia"/>
          <w:color w:val="000000" w:themeColor="text1"/>
          <w:sz w:val="24"/>
          <w:szCs w:val="24"/>
        </w:rPr>
        <w:t>.</w:t>
      </w:r>
    </w:p>
    <w:p w14:paraId="5315DF83" w14:textId="391C8746" w:rsidR="00235D61" w:rsidRPr="000A2E57" w:rsidRDefault="00E85A6A" w:rsidP="004E3EAF">
      <w:pPr>
        <w:ind w:firstLineChars="200" w:firstLine="480"/>
        <w:rPr>
          <w:color w:val="000000" w:themeColor="text1"/>
          <w:sz w:val="24"/>
          <w:szCs w:val="24"/>
        </w:rPr>
      </w:pPr>
      <w:r>
        <w:rPr>
          <w:rFonts w:hint="eastAsia"/>
          <w:sz w:val="24"/>
          <w:szCs w:val="24"/>
        </w:rPr>
        <w:t>Overall, i</w:t>
      </w:r>
      <w:r w:rsidR="00235D61" w:rsidRPr="00235D61">
        <w:rPr>
          <w:rFonts w:hint="eastAsia"/>
          <w:sz w:val="24"/>
          <w:szCs w:val="24"/>
        </w:rPr>
        <w:t>t is suggested</w:t>
      </w:r>
      <w:r w:rsidR="00235D61" w:rsidRPr="00235D61">
        <w:rPr>
          <w:color w:val="000000" w:themeColor="text1"/>
          <w:sz w:val="24"/>
          <w:szCs w:val="24"/>
        </w:rPr>
        <w:t xml:space="preserve"> that sexual maturity stage should be incorporated as a routine biological sampling item in future NPFC data collection for neon flying squid. Although mantle length is useful for describing population structure, using </w:t>
      </w:r>
      <w:r w:rsidR="00235D61">
        <w:rPr>
          <w:rFonts w:hint="eastAsia"/>
          <w:color w:val="000000" w:themeColor="text1"/>
          <w:sz w:val="24"/>
          <w:szCs w:val="24"/>
        </w:rPr>
        <w:t>mantle length</w:t>
      </w:r>
      <w:r w:rsidR="00235D61" w:rsidRPr="00235D61">
        <w:rPr>
          <w:color w:val="000000" w:themeColor="text1"/>
          <w:sz w:val="24"/>
          <w:szCs w:val="24"/>
        </w:rPr>
        <w:t xml:space="preserve"> composition alone to distinguish the winter-spring and autumn cohorts may involve uncertainty, particularly for short-lived and fast-growing species. Sexual maturity provides direct information on reproductive development and can therefore serve as an important supplementary indicator for interpreting size composition. In the present study, most individuals were concentrated between 180 and 250 mm and remained at </w:t>
      </w:r>
      <w:r w:rsidR="00235D61" w:rsidRPr="00235D61">
        <w:rPr>
          <w:color w:val="000000" w:themeColor="text1"/>
          <w:sz w:val="24"/>
          <w:szCs w:val="24"/>
        </w:rPr>
        <w:lastRenderedPageBreak/>
        <w:t xml:space="preserve">maturity stages 1 and 2, whereas higher maturity stages were more frequently observed in larger mantle length classes. Therefore, integrating maturity stage with size composition may improve the interpretation of biological status and potential cohort composition. </w:t>
      </w:r>
      <w:r w:rsidRPr="00E85A6A">
        <w:rPr>
          <w:color w:val="000000" w:themeColor="text1"/>
          <w:sz w:val="24"/>
          <w:szCs w:val="24"/>
        </w:rPr>
        <w:t>In addition, standardized criteria for assessing sexual maturity stages of neon flying squid should be promoted under the NPFC framework</w:t>
      </w:r>
      <w:r>
        <w:rPr>
          <w:rFonts w:hint="eastAsia"/>
          <w:color w:val="000000" w:themeColor="text1"/>
          <w:sz w:val="24"/>
          <w:szCs w:val="24"/>
        </w:rPr>
        <w:t>.</w:t>
      </w:r>
      <w:r w:rsidR="00235D61" w:rsidRPr="00235D61">
        <w:rPr>
          <w:color w:val="000000" w:themeColor="text1"/>
          <w:sz w:val="24"/>
          <w:szCs w:val="24"/>
        </w:rPr>
        <w:t xml:space="preserve"> A standardized maturity-stage guideline for neon flying squid, including sex-specific morphological descriptions, diagnostic indicators, and reference illustrations or samples, would improve consistency in maturity determination.</w:t>
      </w:r>
      <w:r>
        <w:rPr>
          <w:rFonts w:hint="eastAsia"/>
          <w:color w:val="000000" w:themeColor="text1"/>
          <w:sz w:val="24"/>
          <w:szCs w:val="24"/>
        </w:rPr>
        <w:t xml:space="preserve"> </w:t>
      </w:r>
    </w:p>
    <w:p w14:paraId="5FE1A262" w14:textId="77777777" w:rsidR="00217EB5" w:rsidRPr="000A2E57" w:rsidRDefault="00217EB5" w:rsidP="00404035">
      <w:pPr>
        <w:ind w:firstLineChars="200" w:firstLine="480"/>
        <w:rPr>
          <w:sz w:val="24"/>
          <w:szCs w:val="24"/>
        </w:rPr>
      </w:pPr>
    </w:p>
    <w:p w14:paraId="0F9D33C9" w14:textId="53C18315" w:rsidR="00E26783" w:rsidRPr="00816FE0" w:rsidRDefault="00E26783" w:rsidP="009D040D">
      <w:pPr>
        <w:jc w:val="left"/>
        <w:rPr>
          <w:b/>
          <w:bCs/>
          <w:sz w:val="24"/>
          <w:szCs w:val="24"/>
        </w:rPr>
      </w:pPr>
      <w:r w:rsidRPr="00816FE0">
        <w:rPr>
          <w:rFonts w:hint="eastAsia"/>
          <w:b/>
          <w:bCs/>
          <w:sz w:val="24"/>
          <w:szCs w:val="24"/>
        </w:rPr>
        <w:t>References</w:t>
      </w:r>
    </w:p>
    <w:p w14:paraId="6F43C257" w14:textId="1FEE4FD0" w:rsidR="009F671E" w:rsidRPr="009F671E" w:rsidRDefault="00294E3F" w:rsidP="009F671E">
      <w:pPr>
        <w:pStyle w:val="Bibliography"/>
        <w:rPr>
          <w:kern w:val="0"/>
        </w:rPr>
      </w:pPr>
      <w:r w:rsidRPr="00627D9C">
        <w:fldChar w:fldCharType="begin"/>
      </w:r>
      <w:r w:rsidRPr="00627D9C">
        <w:instrText xml:space="preserve"> ADDIN ZOTERO_BIBL {"uncited":[],"omitted":[],"custom":[]} CSL_BIBLIOGRAPHY </w:instrText>
      </w:r>
      <w:r w:rsidRPr="00627D9C">
        <w:fldChar w:fldCharType="separate"/>
      </w:r>
      <w:r w:rsidR="009F671E" w:rsidRPr="009F671E">
        <w:fldChar w:fldCharType="begin"/>
      </w:r>
      <w:r w:rsidR="009F671E" w:rsidRPr="009F671E">
        <w:instrText xml:space="preserve"> INCLUDETEXT "C:\\Users\\szhjj\\AppData\\Local\\Temp\\ZOT46FD.tmp" \c MSRTF </w:instrText>
      </w:r>
      <w:r w:rsidR="00E85A6A">
        <w:instrText xml:space="preserve"> \* MERGEFORMAT </w:instrText>
      </w:r>
      <w:r w:rsidR="009F671E" w:rsidRPr="009F671E">
        <w:fldChar w:fldCharType="separate"/>
      </w:r>
      <w:r w:rsidR="009F671E" w:rsidRPr="009F671E">
        <w:rPr>
          <w:kern w:val="0"/>
        </w:rPr>
        <w:t>Gong, C., Chen, X., Gao, F., Yu, W., 2021. The Change Characteristics of Potential Habitat and Fishing Season for Neon Flying Squid in the Northwest Pacific Ocean under Future Climate Change Scenarios. Marine and Coastal Fisheries 13, 450–462. https://doi.org/10.1002/mcf2.10170</w:t>
      </w:r>
    </w:p>
    <w:p w14:paraId="1583889B" w14:textId="77777777" w:rsidR="009F671E" w:rsidRPr="009F671E" w:rsidRDefault="009F671E" w:rsidP="009F671E">
      <w:pPr>
        <w:pStyle w:val="Bibliography"/>
        <w:rPr>
          <w:kern w:val="0"/>
        </w:rPr>
      </w:pPr>
      <w:r w:rsidRPr="009F671E">
        <w:rPr>
          <w:kern w:val="0"/>
        </w:rPr>
        <w:t>Han, P., Li, J., Dan, Y., Liu, B., Chen, X., Fang, Z., 2022. Decadal Changes in the Annual Growth of Two Commercial Ommastrephid Species in the Pacific Ocean. Fishes 7, 280. https://doi.org/10.3390/fishes7050280</w:t>
      </w:r>
    </w:p>
    <w:p w14:paraId="721C65AB" w14:textId="77777777" w:rsidR="009F671E" w:rsidRPr="009F671E" w:rsidRDefault="009F671E" w:rsidP="009F671E">
      <w:pPr>
        <w:pStyle w:val="Bibliography"/>
        <w:rPr>
          <w:kern w:val="0"/>
        </w:rPr>
      </w:pPr>
      <w:r w:rsidRPr="009F671E">
        <w:rPr>
          <w:kern w:val="0"/>
        </w:rPr>
        <w:t>Jereb, P., Roper, C.F.E., 2010. Cephalopods of the world - an annotated and illustrated catalogue of cephalopod species known to date. Vol 2. Myopsid and oegopsid squids. FAO, Rome.</w:t>
      </w:r>
    </w:p>
    <w:p w14:paraId="46753646" w14:textId="77777777" w:rsidR="009F671E" w:rsidRPr="009F671E" w:rsidRDefault="009F671E" w:rsidP="009F671E">
      <w:pPr>
        <w:pStyle w:val="Bibliography"/>
        <w:rPr>
          <w:kern w:val="0"/>
        </w:rPr>
      </w:pPr>
      <w:r w:rsidRPr="009F671E">
        <w:rPr>
          <w:kern w:val="0"/>
        </w:rPr>
        <w:t>Rocha, F., Guerra, Á., González, Á.F., 2001. A review of reproductive strategies in cephalopods. Biological Reviews 76, 291–304. https://doi.org/10.1017/S1464793101005681</w:t>
      </w:r>
    </w:p>
    <w:p w14:paraId="19AFFDAA" w14:textId="77777777" w:rsidR="009F671E" w:rsidRPr="009F671E" w:rsidRDefault="009F671E" w:rsidP="009F671E">
      <w:pPr>
        <w:pStyle w:val="Bibliography"/>
        <w:rPr>
          <w:kern w:val="0"/>
        </w:rPr>
      </w:pPr>
      <w:r w:rsidRPr="009F671E">
        <w:rPr>
          <w:kern w:val="0"/>
        </w:rPr>
        <w:t>Wang, J., Cheng, Y., Lu, H., Chen, X., Lin, L., Zhang, J., 2022. Water Temperature at Different Depths Affects the Distribution of Neon Flying Squid (</w:t>
      </w:r>
      <w:r w:rsidRPr="00E85A6A">
        <w:rPr>
          <w:i/>
          <w:iCs/>
          <w:kern w:val="0"/>
        </w:rPr>
        <w:t>Ommastrephes bartramii</w:t>
      </w:r>
      <w:r w:rsidRPr="009F671E">
        <w:rPr>
          <w:kern w:val="0"/>
        </w:rPr>
        <w:t>) in the Northwest Pacific Ocean. Front. Mar. Sci. 8. https://doi.org/10.3389/fmars.2021.741620</w:t>
      </w:r>
    </w:p>
    <w:p w14:paraId="0FA31B42" w14:textId="77777777" w:rsidR="009F671E" w:rsidRPr="009F671E" w:rsidRDefault="009F671E" w:rsidP="009F671E">
      <w:pPr>
        <w:pStyle w:val="Bibliography"/>
        <w:rPr>
          <w:kern w:val="0"/>
        </w:rPr>
      </w:pPr>
      <w:r w:rsidRPr="009F671E">
        <w:rPr>
          <w:kern w:val="0"/>
        </w:rPr>
        <w:t>Wang, Y., Han, P., Fang, Z., Chen, X., 2023. Climate-induced life cycle and growth variations of neon flying squid (</w:t>
      </w:r>
      <w:r w:rsidRPr="009F671E">
        <w:rPr>
          <w:i/>
          <w:iCs/>
          <w:kern w:val="0"/>
        </w:rPr>
        <w:t>Ommastrephes bartramii</w:t>
      </w:r>
      <w:r w:rsidRPr="009F671E">
        <w:rPr>
          <w:kern w:val="0"/>
        </w:rPr>
        <w:t>) in the North Pacific Ocean. Aquaculture and Fisheries 8, 211–220. https://doi.org/10.1016/j.aaf.2021.08.006</w:t>
      </w:r>
    </w:p>
    <w:p w14:paraId="58E68AB5" w14:textId="237D04A9" w:rsidR="00926E68" w:rsidRPr="00627D9C" w:rsidRDefault="009F671E" w:rsidP="009F671E">
      <w:pPr>
        <w:pStyle w:val="Bibliography"/>
      </w:pPr>
      <w:r w:rsidRPr="009F671E">
        <w:fldChar w:fldCharType="end"/>
      </w:r>
      <w:r w:rsidR="00294E3F" w:rsidRPr="00627D9C">
        <w:fldChar w:fldCharType="end"/>
      </w:r>
    </w:p>
    <w:p w14:paraId="6296D8F2" w14:textId="77777777" w:rsidR="00926E68" w:rsidRDefault="00926E68" w:rsidP="009D040D">
      <w:pPr>
        <w:jc w:val="left"/>
        <w:rPr>
          <w:sz w:val="24"/>
          <w:szCs w:val="24"/>
        </w:rPr>
      </w:pPr>
    </w:p>
    <w:p w14:paraId="4A6B72F5" w14:textId="7B72E2F5" w:rsidR="009F5BD6" w:rsidRDefault="00926E68" w:rsidP="00926E68">
      <w:pPr>
        <w:jc w:val="center"/>
        <w:rPr>
          <w:sz w:val="24"/>
          <w:szCs w:val="24"/>
        </w:rPr>
      </w:pPr>
      <w:r w:rsidRPr="00926E68">
        <w:rPr>
          <w:sz w:val="24"/>
          <w:szCs w:val="24"/>
        </w:rPr>
        <w:t xml:space="preserve">Table 1. Summary of </w:t>
      </w:r>
      <w:r>
        <w:rPr>
          <w:rFonts w:hint="eastAsia"/>
          <w:sz w:val="24"/>
          <w:szCs w:val="24"/>
        </w:rPr>
        <w:t xml:space="preserve">squid </w:t>
      </w:r>
      <w:r w:rsidRPr="00926E68">
        <w:rPr>
          <w:sz w:val="24"/>
          <w:szCs w:val="24"/>
        </w:rPr>
        <w:t>jigging surveys for neon flying squid in the</w:t>
      </w:r>
      <w:r>
        <w:rPr>
          <w:rFonts w:hint="eastAsia"/>
          <w:sz w:val="24"/>
          <w:szCs w:val="24"/>
        </w:rPr>
        <w:t xml:space="preserve"> </w:t>
      </w:r>
      <w:r w:rsidRPr="00926E68">
        <w:rPr>
          <w:sz w:val="24"/>
          <w:szCs w:val="24"/>
        </w:rPr>
        <w:t>northwest Pacific Ocean</w:t>
      </w:r>
      <w:r>
        <w:rPr>
          <w:rFonts w:hint="eastAsia"/>
          <w:sz w:val="24"/>
          <w:szCs w:val="24"/>
        </w:rPr>
        <w:t xml:space="preserve"> between 2021-2025</w:t>
      </w:r>
    </w:p>
    <w:tbl>
      <w:tblPr>
        <w:tblStyle w:val="a"/>
        <w:tblW w:w="5120" w:type="pct"/>
        <w:jc w:val="center"/>
        <w:tblLook w:val="04A0" w:firstRow="1" w:lastRow="0" w:firstColumn="1" w:lastColumn="0" w:noHBand="0" w:noVBand="1"/>
      </w:tblPr>
      <w:tblGrid>
        <w:gridCol w:w="798"/>
        <w:gridCol w:w="1156"/>
        <w:gridCol w:w="1100"/>
        <w:gridCol w:w="1497"/>
        <w:gridCol w:w="438"/>
        <w:gridCol w:w="2374"/>
        <w:gridCol w:w="2320"/>
      </w:tblGrid>
      <w:tr w:rsidR="00572DF4" w:rsidRPr="009F5BD6" w14:paraId="5F16165F" w14:textId="17227947" w:rsidTr="009A17D7">
        <w:trPr>
          <w:cnfStyle w:val="100000000000" w:firstRow="1" w:lastRow="0" w:firstColumn="0" w:lastColumn="0" w:oddVBand="0" w:evenVBand="0" w:oddHBand="0" w:evenHBand="0" w:firstRowFirstColumn="0" w:firstRowLastColumn="0" w:lastRowFirstColumn="0" w:lastRowLastColumn="0"/>
          <w:trHeight w:val="555"/>
          <w:jc w:val="center"/>
        </w:trPr>
        <w:tc>
          <w:tcPr>
            <w:tcW w:w="412" w:type="pct"/>
            <w:vAlign w:val="center"/>
            <w:hideMark/>
          </w:tcPr>
          <w:p w14:paraId="5E0052B2" w14:textId="77777777" w:rsidR="00572DF4" w:rsidRPr="00715616" w:rsidRDefault="00572DF4" w:rsidP="009A17D7">
            <w:pPr>
              <w:widowControl/>
              <w:spacing w:line="360" w:lineRule="auto"/>
              <w:jc w:val="center"/>
              <w:rPr>
                <w:rFonts w:eastAsia="DengXian" w:cs="Times New Roman"/>
                <w:b/>
                <w:bCs/>
                <w:color w:val="000000"/>
                <w:kern w:val="0"/>
                <w:sz w:val="24"/>
                <w:szCs w:val="24"/>
              </w:rPr>
            </w:pPr>
            <w:r w:rsidRPr="00715616">
              <w:rPr>
                <w:rFonts w:eastAsia="DengXian" w:cs="Times New Roman"/>
                <w:b/>
                <w:bCs/>
                <w:color w:val="000000"/>
                <w:kern w:val="0"/>
                <w:sz w:val="24"/>
                <w:szCs w:val="24"/>
              </w:rPr>
              <w:t>Year</w:t>
            </w:r>
          </w:p>
        </w:tc>
        <w:tc>
          <w:tcPr>
            <w:tcW w:w="597" w:type="pct"/>
            <w:vAlign w:val="center"/>
            <w:hideMark/>
          </w:tcPr>
          <w:p w14:paraId="4D714C3B" w14:textId="77777777" w:rsidR="00572DF4" w:rsidRPr="00715616" w:rsidRDefault="00572DF4" w:rsidP="009A17D7">
            <w:pPr>
              <w:widowControl/>
              <w:spacing w:line="360" w:lineRule="auto"/>
              <w:jc w:val="center"/>
              <w:rPr>
                <w:rFonts w:eastAsia="DengXian" w:cs="Times New Roman"/>
                <w:b/>
                <w:bCs/>
                <w:color w:val="000000"/>
                <w:kern w:val="0"/>
                <w:sz w:val="24"/>
                <w:szCs w:val="24"/>
              </w:rPr>
            </w:pPr>
            <w:r w:rsidRPr="00715616">
              <w:rPr>
                <w:rFonts w:eastAsia="DengXian" w:cs="Times New Roman"/>
                <w:b/>
                <w:bCs/>
                <w:color w:val="000000"/>
                <w:kern w:val="0"/>
                <w:sz w:val="24"/>
                <w:szCs w:val="24"/>
              </w:rPr>
              <w:t>Month</w:t>
            </w:r>
          </w:p>
        </w:tc>
        <w:tc>
          <w:tcPr>
            <w:tcW w:w="568" w:type="pct"/>
            <w:vAlign w:val="center"/>
            <w:hideMark/>
          </w:tcPr>
          <w:p w14:paraId="0E865DE9" w14:textId="77777777" w:rsidR="00572DF4" w:rsidRPr="00715616" w:rsidRDefault="00572DF4" w:rsidP="009A17D7">
            <w:pPr>
              <w:widowControl/>
              <w:spacing w:line="360" w:lineRule="auto"/>
              <w:jc w:val="center"/>
              <w:rPr>
                <w:rFonts w:eastAsia="DengXian" w:cs="Times New Roman"/>
                <w:b/>
                <w:bCs/>
                <w:color w:val="000000"/>
                <w:kern w:val="0"/>
                <w:sz w:val="24"/>
                <w:szCs w:val="24"/>
              </w:rPr>
            </w:pPr>
            <w:r w:rsidRPr="00715616">
              <w:rPr>
                <w:rFonts w:eastAsia="DengXian" w:cs="Times New Roman"/>
                <w:b/>
                <w:bCs/>
                <w:color w:val="000000"/>
                <w:kern w:val="0"/>
                <w:sz w:val="24"/>
                <w:szCs w:val="24"/>
              </w:rPr>
              <w:t>No. of stations</w:t>
            </w:r>
          </w:p>
        </w:tc>
        <w:tc>
          <w:tcPr>
            <w:tcW w:w="999" w:type="pct"/>
            <w:gridSpan w:val="2"/>
            <w:vAlign w:val="center"/>
            <w:hideMark/>
          </w:tcPr>
          <w:p w14:paraId="53CD6B64" w14:textId="1C00C097" w:rsidR="00572DF4" w:rsidRPr="00715616" w:rsidRDefault="00572DF4" w:rsidP="009A17D7">
            <w:pPr>
              <w:widowControl/>
              <w:spacing w:line="360" w:lineRule="auto"/>
              <w:jc w:val="center"/>
              <w:rPr>
                <w:rFonts w:eastAsia="DengXian" w:cs="Times New Roman"/>
                <w:b/>
                <w:bCs/>
                <w:color w:val="000000"/>
                <w:kern w:val="0"/>
                <w:sz w:val="24"/>
                <w:szCs w:val="24"/>
              </w:rPr>
            </w:pPr>
            <w:r w:rsidRPr="00715616">
              <w:rPr>
                <w:rFonts w:eastAsia="DengXian" w:cs="Times New Roman"/>
                <w:b/>
                <w:bCs/>
                <w:color w:val="000000"/>
                <w:kern w:val="0"/>
                <w:sz w:val="24"/>
                <w:szCs w:val="24"/>
              </w:rPr>
              <w:t>No</w:t>
            </w:r>
            <w:r w:rsidR="0013184B" w:rsidRPr="00715616">
              <w:rPr>
                <w:rFonts w:eastAsia="DengXian" w:cs="Times New Roman" w:hint="eastAsia"/>
                <w:b/>
                <w:bCs/>
                <w:color w:val="000000"/>
                <w:kern w:val="0"/>
                <w:sz w:val="24"/>
                <w:szCs w:val="24"/>
              </w:rPr>
              <w:t>.</w:t>
            </w:r>
            <w:r w:rsidRPr="00715616">
              <w:rPr>
                <w:rFonts w:eastAsia="DengXian" w:cs="Times New Roman"/>
                <w:b/>
                <w:bCs/>
                <w:color w:val="000000"/>
                <w:kern w:val="0"/>
                <w:sz w:val="24"/>
                <w:szCs w:val="24"/>
              </w:rPr>
              <w:t xml:space="preserve"> of stations with NFS</w:t>
            </w:r>
          </w:p>
        </w:tc>
        <w:tc>
          <w:tcPr>
            <w:tcW w:w="1226" w:type="pct"/>
            <w:vAlign w:val="center"/>
          </w:tcPr>
          <w:p w14:paraId="7ADCFEB6" w14:textId="043DF4A3" w:rsidR="00572DF4" w:rsidRPr="00715616" w:rsidRDefault="00572DF4" w:rsidP="009A17D7">
            <w:pPr>
              <w:widowControl/>
              <w:wordWrap w:val="0"/>
              <w:spacing w:line="360" w:lineRule="auto"/>
              <w:jc w:val="center"/>
              <w:rPr>
                <w:rFonts w:eastAsia="DengXian" w:cs="Times New Roman"/>
                <w:b/>
                <w:bCs/>
                <w:color w:val="000000"/>
                <w:kern w:val="0"/>
                <w:sz w:val="24"/>
                <w:szCs w:val="24"/>
              </w:rPr>
            </w:pPr>
            <w:proofErr w:type="spellStart"/>
            <w:r w:rsidRPr="00715616">
              <w:rPr>
                <w:rFonts w:eastAsia="DengXian" w:cs="Times New Roman" w:hint="eastAsia"/>
                <w:b/>
                <w:bCs/>
                <w:color w:val="000000"/>
                <w:kern w:val="0"/>
                <w:sz w:val="24"/>
                <w:szCs w:val="24"/>
              </w:rPr>
              <w:t>Occurrance</w:t>
            </w:r>
            <w:proofErr w:type="spellEnd"/>
            <w:r w:rsidRPr="00715616">
              <w:rPr>
                <w:rFonts w:eastAsia="DengXian" w:cs="Times New Roman" w:hint="eastAsia"/>
                <w:b/>
                <w:bCs/>
                <w:color w:val="000000"/>
                <w:kern w:val="0"/>
                <w:sz w:val="24"/>
                <w:szCs w:val="24"/>
              </w:rPr>
              <w:t xml:space="preserve"> rate</w:t>
            </w:r>
          </w:p>
        </w:tc>
        <w:tc>
          <w:tcPr>
            <w:tcW w:w="1199" w:type="pct"/>
            <w:vAlign w:val="center"/>
          </w:tcPr>
          <w:p w14:paraId="2093550A" w14:textId="7C9F17F3" w:rsidR="00572DF4" w:rsidRPr="00715616" w:rsidRDefault="00572DF4" w:rsidP="009A17D7">
            <w:pPr>
              <w:widowControl/>
              <w:wordWrap w:val="0"/>
              <w:spacing w:line="360" w:lineRule="auto"/>
              <w:jc w:val="center"/>
              <w:rPr>
                <w:rFonts w:eastAsia="DengXian" w:cs="Times New Roman"/>
                <w:b/>
                <w:bCs/>
                <w:color w:val="000000"/>
                <w:kern w:val="0"/>
                <w:sz w:val="24"/>
                <w:szCs w:val="24"/>
              </w:rPr>
            </w:pPr>
            <w:r w:rsidRPr="00715616">
              <w:rPr>
                <w:rFonts w:eastAsia="DengXian" w:cs="Times New Roman"/>
                <w:b/>
                <w:bCs/>
                <w:color w:val="000000"/>
                <w:kern w:val="0"/>
                <w:sz w:val="24"/>
                <w:szCs w:val="24"/>
              </w:rPr>
              <w:t xml:space="preserve">No. of measured </w:t>
            </w:r>
            <w:r w:rsidRPr="00715616">
              <w:rPr>
                <w:rFonts w:eastAsia="DengXian" w:cs="Times New Roman" w:hint="eastAsia"/>
                <w:b/>
                <w:bCs/>
                <w:color w:val="000000"/>
                <w:kern w:val="0"/>
                <w:sz w:val="24"/>
                <w:szCs w:val="24"/>
              </w:rPr>
              <w:t>NFS</w:t>
            </w:r>
          </w:p>
        </w:tc>
      </w:tr>
      <w:tr w:rsidR="00572DF4" w:rsidRPr="009F5BD6" w14:paraId="59FBFE9E" w14:textId="4F32159B" w:rsidTr="00926E68">
        <w:trPr>
          <w:trHeight w:val="278"/>
          <w:jc w:val="center"/>
        </w:trPr>
        <w:tc>
          <w:tcPr>
            <w:tcW w:w="412" w:type="pct"/>
            <w:noWrap/>
            <w:hideMark/>
          </w:tcPr>
          <w:p w14:paraId="6D651313"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2021</w:t>
            </w:r>
          </w:p>
        </w:tc>
        <w:tc>
          <w:tcPr>
            <w:tcW w:w="597" w:type="pct"/>
            <w:noWrap/>
            <w:hideMark/>
          </w:tcPr>
          <w:p w14:paraId="5999B491" w14:textId="23D7987A" w:rsidR="00572DF4" w:rsidRPr="009F5BD6" w:rsidRDefault="00926E68" w:rsidP="00926E68">
            <w:pPr>
              <w:widowControl/>
              <w:spacing w:line="360" w:lineRule="auto"/>
              <w:ind w:right="53"/>
              <w:jc w:val="center"/>
              <w:rPr>
                <w:rFonts w:eastAsia="DengXian" w:cs="Times New Roman"/>
                <w:color w:val="000000"/>
                <w:kern w:val="0"/>
                <w:sz w:val="24"/>
                <w:szCs w:val="24"/>
              </w:rPr>
            </w:pPr>
            <w:r w:rsidRPr="009F5BD6">
              <w:rPr>
                <w:rFonts w:eastAsia="DengXian" w:cs="Times New Roman"/>
                <w:color w:val="000000"/>
                <w:kern w:val="0"/>
                <w:sz w:val="24"/>
                <w:szCs w:val="24"/>
              </w:rPr>
              <w:t>6-8</w:t>
            </w:r>
          </w:p>
        </w:tc>
        <w:tc>
          <w:tcPr>
            <w:tcW w:w="568" w:type="pct"/>
            <w:noWrap/>
            <w:hideMark/>
          </w:tcPr>
          <w:p w14:paraId="78B0F178" w14:textId="13E15D3D" w:rsidR="00572DF4" w:rsidRPr="009F5BD6" w:rsidRDefault="00572DF4" w:rsidP="0013184B">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NA</w:t>
            </w:r>
          </w:p>
        </w:tc>
        <w:tc>
          <w:tcPr>
            <w:tcW w:w="773" w:type="pct"/>
            <w:noWrap/>
            <w:hideMark/>
          </w:tcPr>
          <w:p w14:paraId="372C7DC8" w14:textId="126534C2" w:rsidR="00572DF4" w:rsidRPr="009F5BD6" w:rsidRDefault="00572DF4" w:rsidP="0013184B">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NA</w:t>
            </w:r>
          </w:p>
        </w:tc>
        <w:tc>
          <w:tcPr>
            <w:tcW w:w="1451" w:type="pct"/>
            <w:gridSpan w:val="2"/>
          </w:tcPr>
          <w:p w14:paraId="12FD04FD" w14:textId="1FBFF2EE" w:rsidR="00572DF4" w:rsidRPr="009F5BD6" w:rsidRDefault="00572DF4" w:rsidP="0013184B">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NA</w:t>
            </w:r>
          </w:p>
        </w:tc>
        <w:tc>
          <w:tcPr>
            <w:tcW w:w="1199" w:type="pct"/>
          </w:tcPr>
          <w:p w14:paraId="4F73C542" w14:textId="7E66BDD5" w:rsidR="00572DF4" w:rsidRDefault="00572DF4" w:rsidP="0013184B">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NA</w:t>
            </w:r>
          </w:p>
        </w:tc>
      </w:tr>
      <w:tr w:rsidR="00572DF4" w:rsidRPr="009F5BD6" w14:paraId="01E6D88E" w14:textId="276348AC" w:rsidTr="00926E68">
        <w:trPr>
          <w:trHeight w:val="278"/>
          <w:jc w:val="center"/>
        </w:trPr>
        <w:tc>
          <w:tcPr>
            <w:tcW w:w="412" w:type="pct"/>
            <w:noWrap/>
            <w:hideMark/>
          </w:tcPr>
          <w:p w14:paraId="3363CD77" w14:textId="05A0200C"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2022</w:t>
            </w:r>
          </w:p>
        </w:tc>
        <w:tc>
          <w:tcPr>
            <w:tcW w:w="597" w:type="pct"/>
            <w:noWrap/>
            <w:hideMark/>
          </w:tcPr>
          <w:p w14:paraId="16CE0E72"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6-8</w:t>
            </w:r>
          </w:p>
        </w:tc>
        <w:tc>
          <w:tcPr>
            <w:tcW w:w="568" w:type="pct"/>
            <w:noWrap/>
            <w:hideMark/>
          </w:tcPr>
          <w:p w14:paraId="7A0CF870"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15</w:t>
            </w:r>
          </w:p>
        </w:tc>
        <w:tc>
          <w:tcPr>
            <w:tcW w:w="773" w:type="pct"/>
            <w:noWrap/>
            <w:hideMark/>
          </w:tcPr>
          <w:p w14:paraId="5EA3D666"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8</w:t>
            </w:r>
          </w:p>
        </w:tc>
        <w:tc>
          <w:tcPr>
            <w:tcW w:w="1451" w:type="pct"/>
            <w:gridSpan w:val="2"/>
          </w:tcPr>
          <w:p w14:paraId="325FDE01" w14:textId="09405096" w:rsidR="00572DF4" w:rsidRPr="009F5BD6" w:rsidRDefault="00572DF4" w:rsidP="0013184B">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53.33</w:t>
            </w:r>
          </w:p>
        </w:tc>
        <w:tc>
          <w:tcPr>
            <w:tcW w:w="1199" w:type="pct"/>
          </w:tcPr>
          <w:p w14:paraId="26E7C434" w14:textId="45356979"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7</w:t>
            </w:r>
            <w:r w:rsidR="0099461F">
              <w:rPr>
                <w:rFonts w:eastAsia="DengXian" w:cs="Times New Roman" w:hint="eastAsia"/>
                <w:color w:val="000000"/>
                <w:kern w:val="0"/>
                <w:sz w:val="24"/>
                <w:szCs w:val="24"/>
              </w:rPr>
              <w:t>2</w:t>
            </w:r>
          </w:p>
        </w:tc>
      </w:tr>
      <w:tr w:rsidR="00572DF4" w:rsidRPr="009F5BD6" w14:paraId="14B7AD42" w14:textId="245ED0F0" w:rsidTr="00926E68">
        <w:trPr>
          <w:trHeight w:val="278"/>
          <w:jc w:val="center"/>
        </w:trPr>
        <w:tc>
          <w:tcPr>
            <w:tcW w:w="412" w:type="pct"/>
            <w:noWrap/>
            <w:hideMark/>
          </w:tcPr>
          <w:p w14:paraId="100E6BCC"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2023</w:t>
            </w:r>
          </w:p>
        </w:tc>
        <w:tc>
          <w:tcPr>
            <w:tcW w:w="597" w:type="pct"/>
            <w:noWrap/>
            <w:hideMark/>
          </w:tcPr>
          <w:p w14:paraId="144A2B09"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6-8</w:t>
            </w:r>
          </w:p>
        </w:tc>
        <w:tc>
          <w:tcPr>
            <w:tcW w:w="568" w:type="pct"/>
            <w:noWrap/>
            <w:hideMark/>
          </w:tcPr>
          <w:p w14:paraId="7C61AC0B"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25</w:t>
            </w:r>
          </w:p>
        </w:tc>
        <w:tc>
          <w:tcPr>
            <w:tcW w:w="773" w:type="pct"/>
            <w:noWrap/>
            <w:hideMark/>
          </w:tcPr>
          <w:p w14:paraId="4A120F8A"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12</w:t>
            </w:r>
          </w:p>
        </w:tc>
        <w:tc>
          <w:tcPr>
            <w:tcW w:w="1451" w:type="pct"/>
            <w:gridSpan w:val="2"/>
          </w:tcPr>
          <w:p w14:paraId="540FBE04" w14:textId="5D4D7790" w:rsidR="00572DF4" w:rsidRPr="009F5BD6" w:rsidRDefault="00926E68" w:rsidP="0013184B">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48.00</w:t>
            </w:r>
          </w:p>
        </w:tc>
        <w:tc>
          <w:tcPr>
            <w:tcW w:w="1199" w:type="pct"/>
          </w:tcPr>
          <w:p w14:paraId="64825D0E" w14:textId="67A02AF4"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254</w:t>
            </w:r>
            <w:r w:rsidR="0099461F">
              <w:rPr>
                <w:rFonts w:eastAsia="DengXian" w:cs="Times New Roman" w:hint="eastAsia"/>
                <w:color w:val="000000"/>
                <w:kern w:val="0"/>
                <w:sz w:val="24"/>
                <w:szCs w:val="24"/>
              </w:rPr>
              <w:t>6</w:t>
            </w:r>
          </w:p>
        </w:tc>
      </w:tr>
      <w:tr w:rsidR="00572DF4" w:rsidRPr="009F5BD6" w14:paraId="34B2EC6F" w14:textId="7838C211" w:rsidTr="00926E68">
        <w:trPr>
          <w:trHeight w:val="278"/>
          <w:jc w:val="center"/>
        </w:trPr>
        <w:tc>
          <w:tcPr>
            <w:tcW w:w="412" w:type="pct"/>
            <w:noWrap/>
            <w:hideMark/>
          </w:tcPr>
          <w:p w14:paraId="657E6E94"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2024</w:t>
            </w:r>
          </w:p>
        </w:tc>
        <w:tc>
          <w:tcPr>
            <w:tcW w:w="597" w:type="pct"/>
            <w:noWrap/>
            <w:hideMark/>
          </w:tcPr>
          <w:p w14:paraId="3E65070C"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6-8</w:t>
            </w:r>
          </w:p>
        </w:tc>
        <w:tc>
          <w:tcPr>
            <w:tcW w:w="568" w:type="pct"/>
            <w:noWrap/>
            <w:hideMark/>
          </w:tcPr>
          <w:p w14:paraId="44CC24AF"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27</w:t>
            </w:r>
          </w:p>
        </w:tc>
        <w:tc>
          <w:tcPr>
            <w:tcW w:w="773" w:type="pct"/>
            <w:noWrap/>
            <w:hideMark/>
          </w:tcPr>
          <w:p w14:paraId="66A838CB"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7</w:t>
            </w:r>
          </w:p>
        </w:tc>
        <w:tc>
          <w:tcPr>
            <w:tcW w:w="1451" w:type="pct"/>
            <w:gridSpan w:val="2"/>
          </w:tcPr>
          <w:p w14:paraId="52F37E49" w14:textId="6412D838" w:rsidR="00572DF4" w:rsidRPr="009F5BD6" w:rsidRDefault="00926E68" w:rsidP="0013184B">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25.93</w:t>
            </w:r>
          </w:p>
        </w:tc>
        <w:tc>
          <w:tcPr>
            <w:tcW w:w="1199" w:type="pct"/>
          </w:tcPr>
          <w:p w14:paraId="3479FA2A" w14:textId="660D7B78"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71</w:t>
            </w:r>
            <w:r w:rsidR="0099461F">
              <w:rPr>
                <w:rFonts w:eastAsia="DengXian" w:cs="Times New Roman" w:hint="eastAsia"/>
                <w:color w:val="000000"/>
                <w:kern w:val="0"/>
                <w:sz w:val="24"/>
                <w:szCs w:val="24"/>
              </w:rPr>
              <w:t>1</w:t>
            </w:r>
          </w:p>
        </w:tc>
      </w:tr>
      <w:tr w:rsidR="00572DF4" w:rsidRPr="009F5BD6" w14:paraId="7E461C65" w14:textId="467EFDFD" w:rsidTr="00926E68">
        <w:trPr>
          <w:trHeight w:val="278"/>
          <w:jc w:val="center"/>
        </w:trPr>
        <w:tc>
          <w:tcPr>
            <w:tcW w:w="412" w:type="pct"/>
            <w:noWrap/>
            <w:hideMark/>
          </w:tcPr>
          <w:p w14:paraId="4F25256E"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2025</w:t>
            </w:r>
          </w:p>
        </w:tc>
        <w:tc>
          <w:tcPr>
            <w:tcW w:w="597" w:type="pct"/>
            <w:noWrap/>
            <w:hideMark/>
          </w:tcPr>
          <w:p w14:paraId="5F19D542"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6-8</w:t>
            </w:r>
          </w:p>
        </w:tc>
        <w:tc>
          <w:tcPr>
            <w:tcW w:w="568" w:type="pct"/>
            <w:noWrap/>
            <w:hideMark/>
          </w:tcPr>
          <w:p w14:paraId="7D173F2E"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39</w:t>
            </w:r>
          </w:p>
        </w:tc>
        <w:tc>
          <w:tcPr>
            <w:tcW w:w="773" w:type="pct"/>
            <w:noWrap/>
            <w:hideMark/>
          </w:tcPr>
          <w:p w14:paraId="7FDFD1BA" w14:textId="77777777"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11</w:t>
            </w:r>
          </w:p>
        </w:tc>
        <w:tc>
          <w:tcPr>
            <w:tcW w:w="1451" w:type="pct"/>
            <w:gridSpan w:val="2"/>
          </w:tcPr>
          <w:p w14:paraId="60623CF0" w14:textId="4AD14157" w:rsidR="00572DF4" w:rsidRPr="009F5BD6" w:rsidRDefault="00926E68" w:rsidP="0013184B">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28.21</w:t>
            </w:r>
          </w:p>
        </w:tc>
        <w:tc>
          <w:tcPr>
            <w:tcW w:w="1199" w:type="pct"/>
          </w:tcPr>
          <w:p w14:paraId="10E2BFDC" w14:textId="475D90DA" w:rsidR="00572DF4" w:rsidRPr="009F5BD6" w:rsidRDefault="00572DF4" w:rsidP="0013184B">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5</w:t>
            </w:r>
            <w:r w:rsidR="00627D9C">
              <w:rPr>
                <w:rFonts w:eastAsia="DengXian" w:cs="Times New Roman" w:hint="eastAsia"/>
                <w:color w:val="000000"/>
                <w:kern w:val="0"/>
                <w:sz w:val="24"/>
                <w:szCs w:val="24"/>
              </w:rPr>
              <w:t>79</w:t>
            </w:r>
          </w:p>
        </w:tc>
      </w:tr>
    </w:tbl>
    <w:p w14:paraId="2A25BED6" w14:textId="77777777" w:rsidR="009F5BD6" w:rsidRDefault="009F5BD6" w:rsidP="0013184B">
      <w:pPr>
        <w:spacing w:line="360" w:lineRule="auto"/>
        <w:jc w:val="center"/>
        <w:rPr>
          <w:sz w:val="24"/>
          <w:szCs w:val="24"/>
        </w:rPr>
      </w:pPr>
    </w:p>
    <w:p w14:paraId="6992720C" w14:textId="24E54091" w:rsidR="004E2423" w:rsidRPr="004E2423" w:rsidRDefault="008C694F" w:rsidP="004E2423">
      <w:pPr>
        <w:jc w:val="center"/>
        <w:rPr>
          <w:sz w:val="24"/>
          <w:szCs w:val="24"/>
        </w:rPr>
      </w:pPr>
      <w:r w:rsidRPr="00926E68">
        <w:rPr>
          <w:sz w:val="24"/>
          <w:szCs w:val="24"/>
        </w:rPr>
        <w:t xml:space="preserve">Table </w:t>
      </w:r>
      <w:r w:rsidR="004E2423">
        <w:rPr>
          <w:rFonts w:hint="eastAsia"/>
          <w:sz w:val="24"/>
          <w:szCs w:val="24"/>
        </w:rPr>
        <w:t>2</w:t>
      </w:r>
      <w:r w:rsidRPr="00926E68">
        <w:rPr>
          <w:sz w:val="24"/>
          <w:szCs w:val="24"/>
        </w:rPr>
        <w:t xml:space="preserve">. </w:t>
      </w:r>
      <w:r w:rsidRPr="008C694F">
        <w:rPr>
          <w:sz w:val="24"/>
          <w:szCs w:val="24"/>
        </w:rPr>
        <w:t xml:space="preserve">Criteria for </w:t>
      </w:r>
      <w:r>
        <w:rPr>
          <w:rFonts w:hint="eastAsia"/>
          <w:sz w:val="24"/>
          <w:szCs w:val="24"/>
        </w:rPr>
        <w:t xml:space="preserve">identifying </w:t>
      </w:r>
      <w:r w:rsidR="00793413">
        <w:rPr>
          <w:rFonts w:hint="eastAsia"/>
          <w:sz w:val="24"/>
          <w:szCs w:val="24"/>
        </w:rPr>
        <w:t>sexual</w:t>
      </w:r>
      <w:r w:rsidRPr="008C694F">
        <w:rPr>
          <w:sz w:val="24"/>
          <w:szCs w:val="24"/>
        </w:rPr>
        <w:t xml:space="preserve"> maturity stages I–V in female and male squids</w:t>
      </w:r>
    </w:p>
    <w:tbl>
      <w:tblPr>
        <w:tblStyle w:val="a"/>
        <w:tblW w:w="0" w:type="auto"/>
        <w:jc w:val="center"/>
        <w:tblLook w:val="04A0" w:firstRow="1" w:lastRow="0" w:firstColumn="1" w:lastColumn="0" w:noHBand="0" w:noVBand="1"/>
      </w:tblPr>
      <w:tblGrid>
        <w:gridCol w:w="776"/>
        <w:gridCol w:w="4221"/>
        <w:gridCol w:w="4459"/>
      </w:tblGrid>
      <w:tr w:rsidR="008C694F" w:rsidRPr="008C694F" w14:paraId="0E98FDA1" w14:textId="77777777" w:rsidTr="008C694F">
        <w:trPr>
          <w:cnfStyle w:val="100000000000" w:firstRow="1" w:lastRow="0" w:firstColumn="0" w:lastColumn="0" w:oddVBand="0" w:evenVBand="0" w:oddHBand="0" w:evenHBand="0" w:firstRowFirstColumn="0" w:firstRowLastColumn="0" w:lastRowFirstColumn="0" w:lastRowLastColumn="0"/>
          <w:jc w:val="center"/>
        </w:trPr>
        <w:tc>
          <w:tcPr>
            <w:tcW w:w="0" w:type="auto"/>
            <w:hideMark/>
          </w:tcPr>
          <w:p w14:paraId="2427E826" w14:textId="77777777" w:rsidR="008C694F" w:rsidRPr="008C694F" w:rsidRDefault="008C694F" w:rsidP="008C694F">
            <w:pPr>
              <w:jc w:val="center"/>
              <w:rPr>
                <w:b/>
                <w:bCs/>
                <w:sz w:val="24"/>
                <w:szCs w:val="24"/>
              </w:rPr>
            </w:pPr>
            <w:r w:rsidRPr="008C694F">
              <w:rPr>
                <w:b/>
                <w:bCs/>
                <w:sz w:val="24"/>
                <w:szCs w:val="24"/>
              </w:rPr>
              <w:t>Stage</w:t>
            </w:r>
          </w:p>
        </w:tc>
        <w:tc>
          <w:tcPr>
            <w:tcW w:w="0" w:type="auto"/>
            <w:hideMark/>
          </w:tcPr>
          <w:p w14:paraId="2A01D2D2" w14:textId="77777777" w:rsidR="008C694F" w:rsidRPr="008C694F" w:rsidRDefault="008C694F" w:rsidP="008C694F">
            <w:pPr>
              <w:jc w:val="center"/>
              <w:rPr>
                <w:b/>
                <w:bCs/>
                <w:sz w:val="24"/>
                <w:szCs w:val="24"/>
              </w:rPr>
            </w:pPr>
            <w:r w:rsidRPr="008C694F">
              <w:rPr>
                <w:b/>
                <w:bCs/>
                <w:sz w:val="24"/>
                <w:szCs w:val="24"/>
              </w:rPr>
              <w:t>Female</w:t>
            </w:r>
          </w:p>
        </w:tc>
        <w:tc>
          <w:tcPr>
            <w:tcW w:w="0" w:type="auto"/>
            <w:hideMark/>
          </w:tcPr>
          <w:p w14:paraId="2301940A" w14:textId="77777777" w:rsidR="008C694F" w:rsidRPr="008C694F" w:rsidRDefault="008C694F" w:rsidP="008C694F">
            <w:pPr>
              <w:jc w:val="center"/>
              <w:rPr>
                <w:b/>
                <w:bCs/>
                <w:sz w:val="24"/>
                <w:szCs w:val="24"/>
              </w:rPr>
            </w:pPr>
            <w:r w:rsidRPr="008C694F">
              <w:rPr>
                <w:b/>
                <w:bCs/>
                <w:sz w:val="24"/>
                <w:szCs w:val="24"/>
              </w:rPr>
              <w:t>Male</w:t>
            </w:r>
          </w:p>
        </w:tc>
      </w:tr>
      <w:tr w:rsidR="008C694F" w:rsidRPr="008C694F" w14:paraId="68CB81A8" w14:textId="77777777" w:rsidTr="008C694F">
        <w:trPr>
          <w:jc w:val="center"/>
        </w:trPr>
        <w:tc>
          <w:tcPr>
            <w:tcW w:w="0" w:type="auto"/>
            <w:hideMark/>
          </w:tcPr>
          <w:p w14:paraId="1E46D398" w14:textId="3D3C7E14" w:rsidR="008C694F" w:rsidRPr="008C694F" w:rsidRDefault="00C43F75" w:rsidP="008C694F">
            <w:pPr>
              <w:jc w:val="center"/>
              <w:rPr>
                <w:sz w:val="24"/>
                <w:szCs w:val="24"/>
              </w:rPr>
            </w:pPr>
            <w:r>
              <w:rPr>
                <w:rFonts w:hint="eastAsia"/>
                <w:sz w:val="24"/>
                <w:szCs w:val="24"/>
              </w:rPr>
              <w:lastRenderedPageBreak/>
              <w:t>1</w:t>
            </w:r>
          </w:p>
        </w:tc>
        <w:tc>
          <w:tcPr>
            <w:tcW w:w="0" w:type="auto"/>
            <w:hideMark/>
          </w:tcPr>
          <w:p w14:paraId="1E303A59" w14:textId="77777777" w:rsidR="008C694F" w:rsidRPr="008C694F" w:rsidRDefault="008C694F" w:rsidP="008C694F">
            <w:pPr>
              <w:jc w:val="center"/>
              <w:rPr>
                <w:sz w:val="24"/>
                <w:szCs w:val="24"/>
              </w:rPr>
            </w:pPr>
            <w:r w:rsidRPr="008C694F">
              <w:rPr>
                <w:sz w:val="24"/>
                <w:szCs w:val="24"/>
              </w:rPr>
              <w:t>Ovary small, whitish and translucent; oocytes not visible. Nidamental glands and oviducts small.</w:t>
            </w:r>
          </w:p>
        </w:tc>
        <w:tc>
          <w:tcPr>
            <w:tcW w:w="0" w:type="auto"/>
            <w:hideMark/>
          </w:tcPr>
          <w:p w14:paraId="3B3B30CA" w14:textId="77777777" w:rsidR="008C694F" w:rsidRPr="008C694F" w:rsidRDefault="008C694F" w:rsidP="008C694F">
            <w:pPr>
              <w:jc w:val="center"/>
              <w:rPr>
                <w:sz w:val="24"/>
                <w:szCs w:val="24"/>
              </w:rPr>
            </w:pPr>
            <w:r w:rsidRPr="008C694F">
              <w:rPr>
                <w:sz w:val="24"/>
                <w:szCs w:val="24"/>
              </w:rPr>
              <w:t xml:space="preserve">Testis small, whitish and translucent. </w:t>
            </w:r>
            <w:proofErr w:type="spellStart"/>
            <w:r w:rsidRPr="008C694F">
              <w:rPr>
                <w:sz w:val="24"/>
                <w:szCs w:val="24"/>
              </w:rPr>
              <w:t>Spermatophoric</w:t>
            </w:r>
            <w:proofErr w:type="spellEnd"/>
            <w:r w:rsidRPr="008C694F">
              <w:rPr>
                <w:sz w:val="24"/>
                <w:szCs w:val="24"/>
              </w:rPr>
              <w:t xml:space="preserve"> complex weakly developed; no spermatophores in Needham’s sac.</w:t>
            </w:r>
          </w:p>
        </w:tc>
      </w:tr>
      <w:tr w:rsidR="008C694F" w:rsidRPr="008C694F" w14:paraId="410BE572" w14:textId="77777777" w:rsidTr="008C694F">
        <w:trPr>
          <w:jc w:val="center"/>
        </w:trPr>
        <w:tc>
          <w:tcPr>
            <w:tcW w:w="0" w:type="auto"/>
            <w:hideMark/>
          </w:tcPr>
          <w:p w14:paraId="623A06C9" w14:textId="061E080F" w:rsidR="008C694F" w:rsidRPr="008C694F" w:rsidRDefault="00C43F75" w:rsidP="008C694F">
            <w:pPr>
              <w:jc w:val="center"/>
              <w:rPr>
                <w:sz w:val="24"/>
                <w:szCs w:val="24"/>
              </w:rPr>
            </w:pPr>
            <w:r>
              <w:rPr>
                <w:rFonts w:hint="eastAsia"/>
                <w:sz w:val="24"/>
                <w:szCs w:val="24"/>
              </w:rPr>
              <w:t>2</w:t>
            </w:r>
          </w:p>
        </w:tc>
        <w:tc>
          <w:tcPr>
            <w:tcW w:w="0" w:type="auto"/>
            <w:hideMark/>
          </w:tcPr>
          <w:p w14:paraId="6723376A" w14:textId="77777777" w:rsidR="008C694F" w:rsidRPr="008C694F" w:rsidRDefault="008C694F" w:rsidP="008C694F">
            <w:pPr>
              <w:jc w:val="center"/>
              <w:rPr>
                <w:sz w:val="24"/>
                <w:szCs w:val="24"/>
              </w:rPr>
            </w:pPr>
            <w:r w:rsidRPr="008C694F">
              <w:rPr>
                <w:sz w:val="24"/>
                <w:szCs w:val="24"/>
              </w:rPr>
              <w:t>Ovary enlarged, whitish and granular; small oocytes visible. Nidamental glands and oviducts developing.</w:t>
            </w:r>
          </w:p>
        </w:tc>
        <w:tc>
          <w:tcPr>
            <w:tcW w:w="0" w:type="auto"/>
            <w:hideMark/>
          </w:tcPr>
          <w:p w14:paraId="4D11DB03" w14:textId="77777777" w:rsidR="008C694F" w:rsidRPr="008C694F" w:rsidRDefault="008C694F" w:rsidP="008C694F">
            <w:pPr>
              <w:jc w:val="center"/>
              <w:rPr>
                <w:sz w:val="24"/>
                <w:szCs w:val="24"/>
              </w:rPr>
            </w:pPr>
            <w:r w:rsidRPr="008C694F">
              <w:rPr>
                <w:sz w:val="24"/>
                <w:szCs w:val="24"/>
              </w:rPr>
              <w:t xml:space="preserve">Testis enlarged and whitish. </w:t>
            </w:r>
            <w:proofErr w:type="spellStart"/>
            <w:r w:rsidRPr="008C694F">
              <w:rPr>
                <w:sz w:val="24"/>
                <w:szCs w:val="24"/>
              </w:rPr>
              <w:t>Spermatophoric</w:t>
            </w:r>
            <w:proofErr w:type="spellEnd"/>
            <w:r w:rsidRPr="008C694F">
              <w:rPr>
                <w:sz w:val="24"/>
                <w:szCs w:val="24"/>
              </w:rPr>
              <w:t xml:space="preserve"> complex visible; sperm duct developing; no spermatophores present.</w:t>
            </w:r>
          </w:p>
        </w:tc>
      </w:tr>
      <w:tr w:rsidR="008C694F" w:rsidRPr="008C694F" w14:paraId="0F0A815F" w14:textId="77777777" w:rsidTr="008C694F">
        <w:trPr>
          <w:jc w:val="center"/>
        </w:trPr>
        <w:tc>
          <w:tcPr>
            <w:tcW w:w="0" w:type="auto"/>
            <w:hideMark/>
          </w:tcPr>
          <w:p w14:paraId="006E1AB6" w14:textId="18379115" w:rsidR="008C694F" w:rsidRPr="008C694F" w:rsidRDefault="00C43F75" w:rsidP="008C694F">
            <w:pPr>
              <w:jc w:val="center"/>
              <w:rPr>
                <w:sz w:val="24"/>
                <w:szCs w:val="24"/>
              </w:rPr>
            </w:pPr>
            <w:r>
              <w:rPr>
                <w:rFonts w:hint="eastAsia"/>
                <w:sz w:val="24"/>
                <w:szCs w:val="24"/>
              </w:rPr>
              <w:t>3</w:t>
            </w:r>
          </w:p>
        </w:tc>
        <w:tc>
          <w:tcPr>
            <w:tcW w:w="0" w:type="auto"/>
            <w:hideMark/>
          </w:tcPr>
          <w:p w14:paraId="1B0378DC" w14:textId="77777777" w:rsidR="008C694F" w:rsidRPr="008C694F" w:rsidRDefault="008C694F" w:rsidP="008C694F">
            <w:pPr>
              <w:jc w:val="center"/>
              <w:rPr>
                <w:sz w:val="24"/>
                <w:szCs w:val="24"/>
              </w:rPr>
            </w:pPr>
            <w:r w:rsidRPr="008C694F">
              <w:rPr>
                <w:sz w:val="24"/>
                <w:szCs w:val="24"/>
              </w:rPr>
              <w:t>Ovary markedly enlarged and pale yellow, with developing oocytes. Oviducts thickened, but mature eggs absent.</w:t>
            </w:r>
          </w:p>
        </w:tc>
        <w:tc>
          <w:tcPr>
            <w:tcW w:w="0" w:type="auto"/>
            <w:hideMark/>
          </w:tcPr>
          <w:p w14:paraId="6F404100" w14:textId="77777777" w:rsidR="008C694F" w:rsidRPr="008C694F" w:rsidRDefault="008C694F" w:rsidP="008C694F">
            <w:pPr>
              <w:jc w:val="center"/>
              <w:rPr>
                <w:sz w:val="24"/>
                <w:szCs w:val="24"/>
              </w:rPr>
            </w:pPr>
            <w:r w:rsidRPr="008C694F">
              <w:rPr>
                <w:sz w:val="24"/>
                <w:szCs w:val="24"/>
              </w:rPr>
              <w:t>Testis greyish white and enlarged. Sperm duct convoluted; immature spermatophores or granular material may appear in Needham’s sac.</w:t>
            </w:r>
          </w:p>
        </w:tc>
      </w:tr>
      <w:tr w:rsidR="008C694F" w:rsidRPr="008C694F" w14:paraId="70FC30AB" w14:textId="77777777" w:rsidTr="008C694F">
        <w:trPr>
          <w:jc w:val="center"/>
        </w:trPr>
        <w:tc>
          <w:tcPr>
            <w:tcW w:w="0" w:type="auto"/>
            <w:hideMark/>
          </w:tcPr>
          <w:p w14:paraId="2111C5A6" w14:textId="06DE1BA2" w:rsidR="008C694F" w:rsidRPr="008C694F" w:rsidRDefault="00C43F75" w:rsidP="008C694F">
            <w:pPr>
              <w:jc w:val="center"/>
              <w:rPr>
                <w:sz w:val="24"/>
                <w:szCs w:val="24"/>
              </w:rPr>
            </w:pPr>
            <w:r>
              <w:rPr>
                <w:rFonts w:hint="eastAsia"/>
                <w:sz w:val="24"/>
                <w:szCs w:val="24"/>
              </w:rPr>
              <w:t>4</w:t>
            </w:r>
          </w:p>
        </w:tc>
        <w:tc>
          <w:tcPr>
            <w:tcW w:w="0" w:type="auto"/>
            <w:hideMark/>
          </w:tcPr>
          <w:p w14:paraId="41D82442" w14:textId="77777777" w:rsidR="008C694F" w:rsidRPr="008C694F" w:rsidRDefault="008C694F" w:rsidP="008C694F">
            <w:pPr>
              <w:jc w:val="center"/>
              <w:rPr>
                <w:sz w:val="24"/>
                <w:szCs w:val="24"/>
              </w:rPr>
            </w:pPr>
            <w:r w:rsidRPr="008C694F">
              <w:rPr>
                <w:sz w:val="24"/>
                <w:szCs w:val="24"/>
              </w:rPr>
              <w:t>Ovary mature, yellowish-green, with numerous uniform oocytes. Few mature eggs present in oviducts, occupying &lt;10% of oviduct volume.</w:t>
            </w:r>
          </w:p>
        </w:tc>
        <w:tc>
          <w:tcPr>
            <w:tcW w:w="0" w:type="auto"/>
            <w:hideMark/>
          </w:tcPr>
          <w:p w14:paraId="1BF3BF3C" w14:textId="77777777" w:rsidR="008C694F" w:rsidRPr="008C694F" w:rsidRDefault="008C694F" w:rsidP="008C694F">
            <w:pPr>
              <w:jc w:val="center"/>
              <w:rPr>
                <w:sz w:val="24"/>
                <w:szCs w:val="24"/>
              </w:rPr>
            </w:pPr>
            <w:r w:rsidRPr="008C694F">
              <w:rPr>
                <w:sz w:val="24"/>
                <w:szCs w:val="24"/>
              </w:rPr>
              <w:t>Testis mature and pale yellow. Mature spermatophores present, occupying &lt;20% of Needham’s sac volume.</w:t>
            </w:r>
          </w:p>
        </w:tc>
      </w:tr>
      <w:tr w:rsidR="008C694F" w:rsidRPr="008C694F" w14:paraId="446E4896" w14:textId="77777777" w:rsidTr="008C694F">
        <w:trPr>
          <w:jc w:val="center"/>
        </w:trPr>
        <w:tc>
          <w:tcPr>
            <w:tcW w:w="0" w:type="auto"/>
            <w:hideMark/>
          </w:tcPr>
          <w:p w14:paraId="15E40217" w14:textId="795ADD26" w:rsidR="008C694F" w:rsidRPr="008C694F" w:rsidRDefault="00C43F75" w:rsidP="008C694F">
            <w:pPr>
              <w:jc w:val="center"/>
              <w:rPr>
                <w:sz w:val="24"/>
                <w:szCs w:val="24"/>
              </w:rPr>
            </w:pPr>
            <w:r>
              <w:rPr>
                <w:rFonts w:hint="eastAsia"/>
                <w:sz w:val="24"/>
                <w:szCs w:val="24"/>
              </w:rPr>
              <w:t>5</w:t>
            </w:r>
          </w:p>
        </w:tc>
        <w:tc>
          <w:tcPr>
            <w:tcW w:w="0" w:type="auto"/>
            <w:hideMark/>
          </w:tcPr>
          <w:p w14:paraId="6730EA78" w14:textId="77777777" w:rsidR="008C694F" w:rsidRPr="008C694F" w:rsidRDefault="008C694F" w:rsidP="008C694F">
            <w:pPr>
              <w:jc w:val="center"/>
              <w:rPr>
                <w:sz w:val="24"/>
                <w:szCs w:val="24"/>
              </w:rPr>
            </w:pPr>
            <w:r w:rsidRPr="008C694F">
              <w:rPr>
                <w:sz w:val="24"/>
                <w:szCs w:val="24"/>
              </w:rPr>
              <w:t>Ovary similar to Stage IV. Oviducts swollen; mature eggs occupy 10%–60% of oviduct volume.</w:t>
            </w:r>
          </w:p>
        </w:tc>
        <w:tc>
          <w:tcPr>
            <w:tcW w:w="0" w:type="auto"/>
            <w:hideMark/>
          </w:tcPr>
          <w:p w14:paraId="5A9FEDAF" w14:textId="77777777" w:rsidR="008C694F" w:rsidRPr="008C694F" w:rsidRDefault="008C694F" w:rsidP="008C694F">
            <w:pPr>
              <w:jc w:val="center"/>
              <w:rPr>
                <w:sz w:val="24"/>
                <w:szCs w:val="24"/>
              </w:rPr>
            </w:pPr>
            <w:r w:rsidRPr="008C694F">
              <w:rPr>
                <w:sz w:val="24"/>
                <w:szCs w:val="24"/>
              </w:rPr>
              <w:t>Needham’s sac enlarged; mature spermatophores neatly arranged, occupying 20%–50% of sac volume.</w:t>
            </w:r>
          </w:p>
        </w:tc>
      </w:tr>
    </w:tbl>
    <w:p w14:paraId="1188CAF5" w14:textId="77777777" w:rsidR="00EF59A8" w:rsidRPr="008C694F" w:rsidRDefault="00EF59A8" w:rsidP="009D040D">
      <w:pPr>
        <w:jc w:val="left"/>
        <w:rPr>
          <w:sz w:val="24"/>
          <w:szCs w:val="24"/>
        </w:rPr>
      </w:pPr>
    </w:p>
    <w:p w14:paraId="4A1233F3" w14:textId="1875CA70" w:rsidR="00EF59A8" w:rsidRPr="00496ECE" w:rsidRDefault="00496ECE" w:rsidP="00496ECE">
      <w:pPr>
        <w:jc w:val="center"/>
        <w:rPr>
          <w:sz w:val="24"/>
          <w:szCs w:val="24"/>
        </w:rPr>
      </w:pPr>
      <w:r w:rsidRPr="00926E68">
        <w:rPr>
          <w:sz w:val="24"/>
          <w:szCs w:val="24"/>
        </w:rPr>
        <w:t xml:space="preserve">Table </w:t>
      </w:r>
      <w:r w:rsidR="008C694F">
        <w:rPr>
          <w:rFonts w:hint="eastAsia"/>
          <w:sz w:val="24"/>
          <w:szCs w:val="24"/>
        </w:rPr>
        <w:t>3</w:t>
      </w:r>
      <w:r w:rsidRPr="00926E68">
        <w:rPr>
          <w:sz w:val="24"/>
          <w:szCs w:val="24"/>
        </w:rPr>
        <w:t xml:space="preserve">. </w:t>
      </w:r>
      <w:r>
        <w:rPr>
          <w:rFonts w:hint="eastAsia"/>
          <w:sz w:val="24"/>
          <w:szCs w:val="24"/>
        </w:rPr>
        <w:t>Mantle length</w:t>
      </w:r>
      <w:r w:rsidRPr="00926E68">
        <w:rPr>
          <w:sz w:val="24"/>
          <w:szCs w:val="24"/>
        </w:rPr>
        <w:t xml:space="preserve"> </w:t>
      </w:r>
      <w:r>
        <w:rPr>
          <w:rFonts w:hint="eastAsia"/>
          <w:sz w:val="24"/>
          <w:szCs w:val="24"/>
        </w:rPr>
        <w:t xml:space="preserve">of </w:t>
      </w:r>
      <w:r w:rsidRPr="00926E68">
        <w:rPr>
          <w:sz w:val="24"/>
          <w:szCs w:val="24"/>
        </w:rPr>
        <w:t>neon flying squid in the</w:t>
      </w:r>
      <w:r>
        <w:rPr>
          <w:rFonts w:hint="eastAsia"/>
          <w:sz w:val="24"/>
          <w:szCs w:val="24"/>
        </w:rPr>
        <w:t xml:space="preserve"> </w:t>
      </w:r>
      <w:r w:rsidRPr="00926E68">
        <w:rPr>
          <w:sz w:val="24"/>
          <w:szCs w:val="24"/>
        </w:rPr>
        <w:t>northwest Pacific Ocean</w:t>
      </w:r>
      <w:r>
        <w:rPr>
          <w:rFonts w:hint="eastAsia"/>
          <w:sz w:val="24"/>
          <w:szCs w:val="24"/>
        </w:rPr>
        <w:t xml:space="preserve"> between 2021-2025</w:t>
      </w:r>
    </w:p>
    <w:tbl>
      <w:tblPr>
        <w:tblStyle w:val="a"/>
        <w:tblW w:w="5000" w:type="pct"/>
        <w:tblLook w:val="04A0" w:firstRow="1" w:lastRow="0" w:firstColumn="1" w:lastColumn="0" w:noHBand="0" w:noVBand="1"/>
      </w:tblPr>
      <w:tblGrid>
        <w:gridCol w:w="1720"/>
        <w:gridCol w:w="1718"/>
        <w:gridCol w:w="1806"/>
        <w:gridCol w:w="1432"/>
        <w:gridCol w:w="1390"/>
        <w:gridCol w:w="1390"/>
      </w:tblGrid>
      <w:tr w:rsidR="00912200" w:rsidRPr="009F5BD6" w14:paraId="7FCEB05D" w14:textId="77777777" w:rsidTr="00715616">
        <w:trPr>
          <w:cnfStyle w:val="100000000000" w:firstRow="1" w:lastRow="0" w:firstColumn="0" w:lastColumn="0" w:oddVBand="0" w:evenVBand="0" w:oddHBand="0" w:evenHBand="0" w:firstRowFirstColumn="0" w:firstRowLastColumn="0" w:lastRowFirstColumn="0" w:lastRowLastColumn="0"/>
          <w:trHeight w:val="555"/>
        </w:trPr>
        <w:tc>
          <w:tcPr>
            <w:tcW w:w="909" w:type="pct"/>
          </w:tcPr>
          <w:p w14:paraId="7B14D11A" w14:textId="08242530" w:rsidR="00912200" w:rsidRPr="00715616" w:rsidRDefault="00912200" w:rsidP="00496ECE">
            <w:pPr>
              <w:widowControl/>
              <w:spacing w:line="360" w:lineRule="auto"/>
              <w:ind w:right="480"/>
              <w:jc w:val="center"/>
              <w:rPr>
                <w:rFonts w:eastAsia="DengXian" w:cs="Times New Roman"/>
                <w:b/>
                <w:bCs/>
                <w:color w:val="000000"/>
                <w:kern w:val="0"/>
                <w:sz w:val="24"/>
                <w:szCs w:val="24"/>
              </w:rPr>
            </w:pPr>
            <w:r w:rsidRPr="00715616">
              <w:rPr>
                <w:rFonts w:eastAsia="DengXian" w:cs="Times New Roman" w:hint="eastAsia"/>
                <w:b/>
                <w:bCs/>
                <w:color w:val="000000"/>
                <w:kern w:val="0"/>
                <w:sz w:val="24"/>
                <w:szCs w:val="24"/>
              </w:rPr>
              <w:t xml:space="preserve">   Year</w:t>
            </w:r>
          </w:p>
        </w:tc>
        <w:tc>
          <w:tcPr>
            <w:tcW w:w="908" w:type="pct"/>
          </w:tcPr>
          <w:p w14:paraId="0B6BC3BD" w14:textId="276543A1" w:rsidR="00912200" w:rsidRPr="00715616" w:rsidRDefault="00912200" w:rsidP="00496ECE">
            <w:pPr>
              <w:widowControl/>
              <w:spacing w:line="360" w:lineRule="auto"/>
              <w:ind w:right="480"/>
              <w:jc w:val="center"/>
              <w:rPr>
                <w:rFonts w:eastAsia="DengXian" w:cs="Times New Roman"/>
                <w:b/>
                <w:bCs/>
                <w:color w:val="000000"/>
                <w:kern w:val="0"/>
                <w:sz w:val="24"/>
                <w:szCs w:val="24"/>
              </w:rPr>
            </w:pPr>
            <w:r w:rsidRPr="00715616">
              <w:rPr>
                <w:rFonts w:eastAsia="DengXian" w:cs="Times New Roman" w:hint="eastAsia"/>
                <w:b/>
                <w:bCs/>
                <w:color w:val="000000"/>
                <w:kern w:val="0"/>
                <w:sz w:val="24"/>
                <w:szCs w:val="24"/>
              </w:rPr>
              <w:t xml:space="preserve">   n</w:t>
            </w:r>
          </w:p>
        </w:tc>
        <w:tc>
          <w:tcPr>
            <w:tcW w:w="955" w:type="pct"/>
            <w:hideMark/>
          </w:tcPr>
          <w:p w14:paraId="75356B19" w14:textId="30A9560E" w:rsidR="00912200" w:rsidRPr="00715616" w:rsidRDefault="00912200" w:rsidP="00496ECE">
            <w:pPr>
              <w:widowControl/>
              <w:spacing w:line="360" w:lineRule="auto"/>
              <w:ind w:right="480"/>
              <w:jc w:val="center"/>
              <w:rPr>
                <w:rFonts w:eastAsia="DengXian" w:cs="Times New Roman"/>
                <w:b/>
                <w:bCs/>
                <w:color w:val="000000"/>
                <w:kern w:val="0"/>
                <w:sz w:val="24"/>
                <w:szCs w:val="24"/>
              </w:rPr>
            </w:pPr>
            <w:r w:rsidRPr="00715616">
              <w:rPr>
                <w:rFonts w:eastAsia="DengXian" w:cs="Times New Roman"/>
                <w:b/>
                <w:bCs/>
                <w:color w:val="000000"/>
                <w:kern w:val="0"/>
                <w:sz w:val="24"/>
                <w:szCs w:val="24"/>
              </w:rPr>
              <w:t>ML</w:t>
            </w:r>
            <w:r w:rsidR="00715616">
              <w:rPr>
                <w:rFonts w:eastAsia="DengXian" w:cs="Times New Roman" w:hint="eastAsia"/>
                <w:b/>
                <w:bCs/>
                <w:color w:val="000000"/>
                <w:kern w:val="0"/>
                <w:sz w:val="24"/>
                <w:szCs w:val="24"/>
              </w:rPr>
              <w:t xml:space="preserve"> </w:t>
            </w:r>
            <w:r w:rsidRPr="00715616">
              <w:rPr>
                <w:rFonts w:eastAsia="DengXian" w:cs="Times New Roman"/>
                <w:b/>
                <w:bCs/>
                <w:color w:val="000000"/>
                <w:kern w:val="0"/>
                <w:sz w:val="24"/>
                <w:szCs w:val="24"/>
              </w:rPr>
              <w:t xml:space="preserve">range </w:t>
            </w:r>
            <w:r w:rsidRPr="00715616">
              <w:rPr>
                <w:rFonts w:eastAsia="DengXian" w:cs="Times New Roman" w:hint="eastAsia"/>
                <w:b/>
                <w:bCs/>
                <w:color w:val="000000"/>
                <w:kern w:val="0"/>
                <w:sz w:val="24"/>
                <w:szCs w:val="24"/>
              </w:rPr>
              <w:t>(</w:t>
            </w:r>
            <w:r w:rsidRPr="00715616">
              <w:rPr>
                <w:rFonts w:eastAsia="DengXian" w:cs="Times New Roman"/>
                <w:b/>
                <w:bCs/>
                <w:color w:val="000000"/>
                <w:kern w:val="0"/>
                <w:sz w:val="24"/>
                <w:szCs w:val="24"/>
              </w:rPr>
              <w:t>mm</w:t>
            </w:r>
            <w:r w:rsidRPr="00715616">
              <w:rPr>
                <w:rFonts w:eastAsia="DengXian" w:cs="Times New Roman" w:hint="eastAsia"/>
                <w:b/>
                <w:bCs/>
                <w:color w:val="000000"/>
                <w:kern w:val="0"/>
                <w:sz w:val="24"/>
                <w:szCs w:val="24"/>
              </w:rPr>
              <w:t>)</w:t>
            </w:r>
          </w:p>
        </w:tc>
        <w:tc>
          <w:tcPr>
            <w:tcW w:w="757" w:type="pct"/>
            <w:hideMark/>
          </w:tcPr>
          <w:p w14:paraId="1D5A93CC" w14:textId="4AD0A3F6" w:rsidR="00912200" w:rsidRPr="00715616" w:rsidRDefault="00912200" w:rsidP="00496ECE">
            <w:pPr>
              <w:widowControl/>
              <w:spacing w:line="360" w:lineRule="auto"/>
              <w:jc w:val="center"/>
              <w:rPr>
                <w:rFonts w:eastAsia="DengXian" w:cs="Times New Roman"/>
                <w:b/>
                <w:bCs/>
                <w:color w:val="000000"/>
                <w:kern w:val="0"/>
                <w:sz w:val="24"/>
                <w:szCs w:val="24"/>
              </w:rPr>
            </w:pPr>
            <w:r w:rsidRPr="00715616">
              <w:rPr>
                <w:rFonts w:eastAsia="DengXian" w:cs="Times New Roman"/>
                <w:b/>
                <w:bCs/>
                <w:color w:val="000000"/>
                <w:kern w:val="0"/>
                <w:sz w:val="24"/>
                <w:szCs w:val="24"/>
              </w:rPr>
              <w:t xml:space="preserve">Mean ML </w:t>
            </w:r>
            <w:r w:rsidRPr="00715616">
              <w:rPr>
                <w:rFonts w:eastAsia="DengXian" w:cs="Times New Roman" w:hint="eastAsia"/>
                <w:b/>
                <w:bCs/>
                <w:color w:val="000000"/>
                <w:kern w:val="0"/>
                <w:sz w:val="24"/>
                <w:szCs w:val="24"/>
              </w:rPr>
              <w:t>(</w:t>
            </w:r>
            <w:r w:rsidRPr="00715616">
              <w:rPr>
                <w:rFonts w:eastAsia="DengXian" w:cs="Times New Roman"/>
                <w:b/>
                <w:bCs/>
                <w:color w:val="000000"/>
                <w:kern w:val="0"/>
                <w:sz w:val="24"/>
                <w:szCs w:val="24"/>
              </w:rPr>
              <w:t>mm</w:t>
            </w:r>
            <w:r w:rsidRPr="00715616">
              <w:rPr>
                <w:rFonts w:eastAsia="DengXian" w:cs="Times New Roman" w:hint="eastAsia"/>
                <w:b/>
                <w:bCs/>
                <w:color w:val="000000"/>
                <w:kern w:val="0"/>
                <w:sz w:val="24"/>
                <w:szCs w:val="24"/>
              </w:rPr>
              <w:t>)</w:t>
            </w:r>
          </w:p>
        </w:tc>
        <w:tc>
          <w:tcPr>
            <w:tcW w:w="735" w:type="pct"/>
          </w:tcPr>
          <w:p w14:paraId="400B7378" w14:textId="472BBD4A" w:rsidR="00912200" w:rsidRPr="00715616" w:rsidRDefault="00912200" w:rsidP="00496ECE">
            <w:pPr>
              <w:widowControl/>
              <w:spacing w:line="360" w:lineRule="auto"/>
              <w:jc w:val="center"/>
              <w:rPr>
                <w:rFonts w:eastAsia="DengXian" w:cs="Times New Roman"/>
                <w:b/>
                <w:bCs/>
                <w:color w:val="000000"/>
                <w:kern w:val="0"/>
                <w:sz w:val="24"/>
                <w:szCs w:val="24"/>
              </w:rPr>
            </w:pPr>
            <w:r w:rsidRPr="00715616">
              <w:rPr>
                <w:rFonts w:eastAsia="DengXian" w:cs="Times New Roman" w:hint="eastAsia"/>
                <w:b/>
                <w:bCs/>
                <w:color w:val="000000"/>
                <w:kern w:val="0"/>
                <w:sz w:val="24"/>
                <w:szCs w:val="24"/>
              </w:rPr>
              <w:t>Median ML (mm)</w:t>
            </w:r>
          </w:p>
        </w:tc>
        <w:tc>
          <w:tcPr>
            <w:tcW w:w="735" w:type="pct"/>
            <w:hideMark/>
          </w:tcPr>
          <w:p w14:paraId="36E4BA5F" w14:textId="211F123D" w:rsidR="00912200" w:rsidRPr="00715616" w:rsidRDefault="00912200" w:rsidP="00496ECE">
            <w:pPr>
              <w:widowControl/>
              <w:spacing w:line="360" w:lineRule="auto"/>
              <w:jc w:val="center"/>
              <w:rPr>
                <w:rFonts w:eastAsia="DengXian" w:cs="Times New Roman"/>
                <w:b/>
                <w:bCs/>
                <w:color w:val="000000"/>
                <w:kern w:val="0"/>
                <w:sz w:val="24"/>
                <w:szCs w:val="24"/>
              </w:rPr>
            </w:pPr>
            <w:r w:rsidRPr="00715616">
              <w:rPr>
                <w:rFonts w:eastAsia="DengXian" w:cs="Times New Roman"/>
                <w:b/>
                <w:bCs/>
                <w:color w:val="000000"/>
                <w:kern w:val="0"/>
                <w:sz w:val="24"/>
                <w:szCs w:val="24"/>
              </w:rPr>
              <w:t>SD</w:t>
            </w:r>
            <w:r w:rsidRPr="00715616">
              <w:rPr>
                <w:rFonts w:eastAsia="DengXian" w:cs="Times New Roman" w:hint="eastAsia"/>
                <w:b/>
                <w:bCs/>
                <w:color w:val="000000"/>
                <w:kern w:val="0"/>
                <w:sz w:val="24"/>
                <w:szCs w:val="24"/>
              </w:rPr>
              <w:t xml:space="preserve"> (mm)</w:t>
            </w:r>
          </w:p>
        </w:tc>
      </w:tr>
      <w:tr w:rsidR="00912200" w:rsidRPr="009F5BD6" w14:paraId="7988648B" w14:textId="77777777" w:rsidTr="00715616">
        <w:trPr>
          <w:trHeight w:val="278"/>
        </w:trPr>
        <w:tc>
          <w:tcPr>
            <w:tcW w:w="909" w:type="pct"/>
          </w:tcPr>
          <w:p w14:paraId="5F48A5F4" w14:textId="4CB03836"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2021</w:t>
            </w:r>
          </w:p>
        </w:tc>
        <w:tc>
          <w:tcPr>
            <w:tcW w:w="908" w:type="pct"/>
          </w:tcPr>
          <w:p w14:paraId="13595A6D" w14:textId="7739C0BC"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NA</w:t>
            </w:r>
          </w:p>
        </w:tc>
        <w:tc>
          <w:tcPr>
            <w:tcW w:w="955" w:type="pct"/>
            <w:noWrap/>
            <w:hideMark/>
          </w:tcPr>
          <w:p w14:paraId="3750E888" w14:textId="1F3232D5"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NA</w:t>
            </w:r>
          </w:p>
        </w:tc>
        <w:tc>
          <w:tcPr>
            <w:tcW w:w="757" w:type="pct"/>
            <w:noWrap/>
            <w:hideMark/>
          </w:tcPr>
          <w:p w14:paraId="35F56FEA" w14:textId="4522DADC"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NA</w:t>
            </w:r>
          </w:p>
        </w:tc>
        <w:tc>
          <w:tcPr>
            <w:tcW w:w="735" w:type="pct"/>
          </w:tcPr>
          <w:p w14:paraId="12ECFED6" w14:textId="2CC8DD7F" w:rsidR="00912200"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NA</w:t>
            </w:r>
          </w:p>
        </w:tc>
        <w:tc>
          <w:tcPr>
            <w:tcW w:w="735" w:type="pct"/>
            <w:noWrap/>
            <w:hideMark/>
          </w:tcPr>
          <w:p w14:paraId="23D33AED" w14:textId="12599D1C"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NA</w:t>
            </w:r>
          </w:p>
        </w:tc>
      </w:tr>
      <w:tr w:rsidR="00912200" w:rsidRPr="009F5BD6" w14:paraId="20CE40CC" w14:textId="77777777" w:rsidTr="00715616">
        <w:trPr>
          <w:trHeight w:val="278"/>
        </w:trPr>
        <w:tc>
          <w:tcPr>
            <w:tcW w:w="909" w:type="pct"/>
          </w:tcPr>
          <w:p w14:paraId="5E83F109" w14:textId="4DCC13B7"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2022</w:t>
            </w:r>
          </w:p>
        </w:tc>
        <w:tc>
          <w:tcPr>
            <w:tcW w:w="908" w:type="pct"/>
          </w:tcPr>
          <w:p w14:paraId="11AB63AA" w14:textId="12E5F125"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73</w:t>
            </w:r>
          </w:p>
        </w:tc>
        <w:tc>
          <w:tcPr>
            <w:tcW w:w="955" w:type="pct"/>
            <w:noWrap/>
            <w:hideMark/>
          </w:tcPr>
          <w:p w14:paraId="00862F85" w14:textId="4C9A82A6"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160</w:t>
            </w:r>
            <w:r>
              <w:rPr>
                <w:rFonts w:eastAsia="DengXian" w:cs="Times New Roman" w:hint="eastAsia"/>
                <w:color w:val="000000"/>
                <w:kern w:val="0"/>
                <w:sz w:val="24"/>
                <w:szCs w:val="24"/>
              </w:rPr>
              <w:t>~</w:t>
            </w:r>
            <w:r w:rsidRPr="009F5BD6">
              <w:rPr>
                <w:rFonts w:eastAsia="DengXian" w:cs="Times New Roman"/>
                <w:color w:val="000000"/>
                <w:kern w:val="0"/>
                <w:sz w:val="24"/>
                <w:szCs w:val="24"/>
              </w:rPr>
              <w:t>460</w:t>
            </w:r>
          </w:p>
        </w:tc>
        <w:tc>
          <w:tcPr>
            <w:tcW w:w="757" w:type="pct"/>
            <w:noWrap/>
            <w:hideMark/>
          </w:tcPr>
          <w:p w14:paraId="36D9C115" w14:textId="77777777"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326.99</w:t>
            </w:r>
          </w:p>
        </w:tc>
        <w:tc>
          <w:tcPr>
            <w:tcW w:w="735" w:type="pct"/>
          </w:tcPr>
          <w:p w14:paraId="754FD397" w14:textId="250A0020"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376</w:t>
            </w:r>
          </w:p>
        </w:tc>
        <w:tc>
          <w:tcPr>
            <w:tcW w:w="735" w:type="pct"/>
            <w:noWrap/>
            <w:hideMark/>
          </w:tcPr>
          <w:p w14:paraId="5AD10C35" w14:textId="28F90C0B"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103.03</w:t>
            </w:r>
          </w:p>
        </w:tc>
      </w:tr>
      <w:tr w:rsidR="00912200" w:rsidRPr="009F5BD6" w14:paraId="6ADD70DB" w14:textId="77777777" w:rsidTr="00715616">
        <w:trPr>
          <w:trHeight w:val="278"/>
        </w:trPr>
        <w:tc>
          <w:tcPr>
            <w:tcW w:w="909" w:type="pct"/>
          </w:tcPr>
          <w:p w14:paraId="7A8715D4" w14:textId="38D35F9F"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2023</w:t>
            </w:r>
          </w:p>
        </w:tc>
        <w:tc>
          <w:tcPr>
            <w:tcW w:w="908" w:type="pct"/>
          </w:tcPr>
          <w:p w14:paraId="69664B27" w14:textId="5709D282"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2547</w:t>
            </w:r>
          </w:p>
        </w:tc>
        <w:tc>
          <w:tcPr>
            <w:tcW w:w="955" w:type="pct"/>
            <w:noWrap/>
            <w:hideMark/>
          </w:tcPr>
          <w:p w14:paraId="23988909" w14:textId="46F1FE02"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122</w:t>
            </w:r>
            <w:r>
              <w:rPr>
                <w:rFonts w:eastAsia="DengXian" w:cs="Times New Roman" w:hint="eastAsia"/>
                <w:color w:val="000000"/>
                <w:kern w:val="0"/>
                <w:sz w:val="24"/>
                <w:szCs w:val="24"/>
              </w:rPr>
              <w:t>~</w:t>
            </w:r>
            <w:r w:rsidRPr="009F5BD6">
              <w:rPr>
                <w:rFonts w:eastAsia="DengXian" w:cs="Times New Roman"/>
                <w:color w:val="000000"/>
                <w:kern w:val="0"/>
                <w:sz w:val="24"/>
                <w:szCs w:val="24"/>
              </w:rPr>
              <w:t>495</w:t>
            </w:r>
          </w:p>
        </w:tc>
        <w:tc>
          <w:tcPr>
            <w:tcW w:w="757" w:type="pct"/>
            <w:noWrap/>
            <w:hideMark/>
          </w:tcPr>
          <w:p w14:paraId="2DCDD737" w14:textId="77777777"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232.19</w:t>
            </w:r>
          </w:p>
        </w:tc>
        <w:tc>
          <w:tcPr>
            <w:tcW w:w="735" w:type="pct"/>
          </w:tcPr>
          <w:p w14:paraId="373DA5ED" w14:textId="760A7418"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228</w:t>
            </w:r>
          </w:p>
        </w:tc>
        <w:tc>
          <w:tcPr>
            <w:tcW w:w="735" w:type="pct"/>
            <w:noWrap/>
            <w:hideMark/>
          </w:tcPr>
          <w:p w14:paraId="4CC6349E" w14:textId="127540A5"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29.86</w:t>
            </w:r>
          </w:p>
        </w:tc>
      </w:tr>
      <w:tr w:rsidR="00912200" w:rsidRPr="009F5BD6" w14:paraId="12C3E911" w14:textId="77777777" w:rsidTr="00715616">
        <w:trPr>
          <w:trHeight w:val="278"/>
        </w:trPr>
        <w:tc>
          <w:tcPr>
            <w:tcW w:w="909" w:type="pct"/>
          </w:tcPr>
          <w:p w14:paraId="36F3DD70" w14:textId="12BEED99"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2024</w:t>
            </w:r>
          </w:p>
        </w:tc>
        <w:tc>
          <w:tcPr>
            <w:tcW w:w="908" w:type="pct"/>
          </w:tcPr>
          <w:p w14:paraId="778876A1" w14:textId="38F6157A"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712</w:t>
            </w:r>
          </w:p>
        </w:tc>
        <w:tc>
          <w:tcPr>
            <w:tcW w:w="955" w:type="pct"/>
            <w:noWrap/>
            <w:hideMark/>
          </w:tcPr>
          <w:p w14:paraId="4C3F6B22" w14:textId="436F6D30"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110</w:t>
            </w:r>
            <w:r>
              <w:rPr>
                <w:rFonts w:eastAsia="DengXian" w:cs="Times New Roman" w:hint="eastAsia"/>
                <w:color w:val="000000"/>
                <w:kern w:val="0"/>
                <w:sz w:val="24"/>
                <w:szCs w:val="24"/>
              </w:rPr>
              <w:t>~</w:t>
            </w:r>
            <w:r w:rsidRPr="009F5BD6">
              <w:rPr>
                <w:rFonts w:eastAsia="DengXian" w:cs="Times New Roman"/>
                <w:color w:val="000000"/>
                <w:kern w:val="0"/>
                <w:sz w:val="24"/>
                <w:szCs w:val="24"/>
              </w:rPr>
              <w:t>430</w:t>
            </w:r>
          </w:p>
        </w:tc>
        <w:tc>
          <w:tcPr>
            <w:tcW w:w="757" w:type="pct"/>
            <w:noWrap/>
            <w:hideMark/>
          </w:tcPr>
          <w:p w14:paraId="37FDCEA5" w14:textId="77777777"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204.48</w:t>
            </w:r>
          </w:p>
        </w:tc>
        <w:tc>
          <w:tcPr>
            <w:tcW w:w="735" w:type="pct"/>
          </w:tcPr>
          <w:p w14:paraId="249D57D2" w14:textId="1DC719FB"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201</w:t>
            </w:r>
          </w:p>
        </w:tc>
        <w:tc>
          <w:tcPr>
            <w:tcW w:w="735" w:type="pct"/>
            <w:noWrap/>
            <w:hideMark/>
          </w:tcPr>
          <w:p w14:paraId="1EED5ADF" w14:textId="5313407A"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33.21</w:t>
            </w:r>
          </w:p>
        </w:tc>
      </w:tr>
      <w:tr w:rsidR="00912200" w:rsidRPr="009F5BD6" w14:paraId="3F47CC52" w14:textId="77777777" w:rsidTr="00715616">
        <w:trPr>
          <w:trHeight w:val="278"/>
        </w:trPr>
        <w:tc>
          <w:tcPr>
            <w:tcW w:w="909" w:type="pct"/>
          </w:tcPr>
          <w:p w14:paraId="6EDCFCD7" w14:textId="014D4F6D"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2025</w:t>
            </w:r>
          </w:p>
        </w:tc>
        <w:tc>
          <w:tcPr>
            <w:tcW w:w="908" w:type="pct"/>
          </w:tcPr>
          <w:p w14:paraId="1E925372" w14:textId="0FDB9C43"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580</w:t>
            </w:r>
          </w:p>
        </w:tc>
        <w:tc>
          <w:tcPr>
            <w:tcW w:w="955" w:type="pct"/>
            <w:noWrap/>
            <w:hideMark/>
          </w:tcPr>
          <w:p w14:paraId="00D0F2AB" w14:textId="766F6D03"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160</w:t>
            </w:r>
            <w:r>
              <w:rPr>
                <w:rFonts w:eastAsia="DengXian" w:cs="Times New Roman" w:hint="eastAsia"/>
                <w:color w:val="000000"/>
                <w:kern w:val="0"/>
                <w:sz w:val="24"/>
                <w:szCs w:val="24"/>
              </w:rPr>
              <w:t>~</w:t>
            </w:r>
            <w:r w:rsidRPr="009F5BD6">
              <w:rPr>
                <w:rFonts w:eastAsia="DengXian" w:cs="Times New Roman"/>
                <w:color w:val="000000"/>
                <w:kern w:val="0"/>
                <w:sz w:val="24"/>
                <w:szCs w:val="24"/>
              </w:rPr>
              <w:t>460</w:t>
            </w:r>
          </w:p>
        </w:tc>
        <w:tc>
          <w:tcPr>
            <w:tcW w:w="757" w:type="pct"/>
            <w:noWrap/>
            <w:hideMark/>
          </w:tcPr>
          <w:p w14:paraId="6AFA3427" w14:textId="77777777"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219.93</w:t>
            </w:r>
          </w:p>
        </w:tc>
        <w:tc>
          <w:tcPr>
            <w:tcW w:w="735" w:type="pct"/>
          </w:tcPr>
          <w:p w14:paraId="5E80CF27" w14:textId="19F39A3B" w:rsidR="00912200" w:rsidRPr="009F5BD6" w:rsidRDefault="00912200" w:rsidP="00496ECE">
            <w:pPr>
              <w:widowControl/>
              <w:spacing w:line="360" w:lineRule="auto"/>
              <w:jc w:val="center"/>
              <w:rPr>
                <w:rFonts w:eastAsia="DengXian" w:cs="Times New Roman"/>
                <w:color w:val="000000"/>
                <w:kern w:val="0"/>
                <w:sz w:val="24"/>
                <w:szCs w:val="24"/>
              </w:rPr>
            </w:pPr>
            <w:r>
              <w:rPr>
                <w:rFonts w:eastAsia="DengXian" w:cs="Times New Roman" w:hint="eastAsia"/>
                <w:color w:val="000000"/>
                <w:kern w:val="0"/>
                <w:sz w:val="24"/>
                <w:szCs w:val="24"/>
              </w:rPr>
              <w:t>200</w:t>
            </w:r>
          </w:p>
        </w:tc>
        <w:tc>
          <w:tcPr>
            <w:tcW w:w="735" w:type="pct"/>
            <w:noWrap/>
            <w:hideMark/>
          </w:tcPr>
          <w:p w14:paraId="1BAFB88D" w14:textId="433EE26A" w:rsidR="00912200" w:rsidRPr="009F5BD6" w:rsidRDefault="00912200" w:rsidP="00496ECE">
            <w:pPr>
              <w:widowControl/>
              <w:spacing w:line="360" w:lineRule="auto"/>
              <w:jc w:val="center"/>
              <w:rPr>
                <w:rFonts w:eastAsia="DengXian" w:cs="Times New Roman"/>
                <w:color w:val="000000"/>
                <w:kern w:val="0"/>
                <w:sz w:val="24"/>
                <w:szCs w:val="24"/>
              </w:rPr>
            </w:pPr>
            <w:r w:rsidRPr="009F5BD6">
              <w:rPr>
                <w:rFonts w:eastAsia="DengXian" w:cs="Times New Roman"/>
                <w:color w:val="000000"/>
                <w:kern w:val="0"/>
                <w:sz w:val="24"/>
                <w:szCs w:val="24"/>
              </w:rPr>
              <w:t>56.51</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8"/>
        <w:gridCol w:w="4908"/>
      </w:tblGrid>
      <w:tr w:rsidR="000C32FD" w14:paraId="1A90D8F3" w14:textId="77777777" w:rsidTr="0049242D">
        <w:tc>
          <w:tcPr>
            <w:tcW w:w="3100" w:type="dxa"/>
          </w:tcPr>
          <w:p w14:paraId="7BC95F90" w14:textId="19BA7D64" w:rsidR="000C32FD" w:rsidRDefault="000C32FD" w:rsidP="009D040D">
            <w:pPr>
              <w:jc w:val="left"/>
              <w:rPr>
                <w:noProof/>
                <w:sz w:val="24"/>
                <w:szCs w:val="24"/>
              </w:rPr>
            </w:pPr>
          </w:p>
          <w:p w14:paraId="3ED0903E" w14:textId="5F43D9D7" w:rsidR="000C32FD" w:rsidRDefault="00987EE9" w:rsidP="009D040D">
            <w:pPr>
              <w:jc w:val="left"/>
              <w:rPr>
                <w:sz w:val="24"/>
                <w:szCs w:val="24"/>
              </w:rPr>
            </w:pPr>
            <w:r>
              <w:rPr>
                <w:noProof/>
                <w:sz w:val="24"/>
                <w:szCs w:val="24"/>
              </w:rPr>
              <w:lastRenderedPageBreak/>
              <w:drawing>
                <wp:inline distT="0" distB="0" distL="0" distR="0" wp14:anchorId="490906DD" wp14:editId="71A8CFB4">
                  <wp:extent cx="2751289" cy="2210400"/>
                  <wp:effectExtent l="0" t="0" r="0" b="0"/>
                  <wp:docPr id="152349166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91663" name="图片 15234916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1289" cy="2210400"/>
                          </a:xfrm>
                          <a:prstGeom prst="rect">
                            <a:avLst/>
                          </a:prstGeom>
                        </pic:spPr>
                      </pic:pic>
                    </a:graphicData>
                  </a:graphic>
                </wp:inline>
              </w:drawing>
            </w:r>
          </w:p>
          <w:p w14:paraId="490F6B4B" w14:textId="51AE9770" w:rsidR="00987EE9" w:rsidRPr="0049242D" w:rsidRDefault="0049242D" w:rsidP="0049242D">
            <w:pPr>
              <w:pStyle w:val="ListParagraph"/>
              <w:numPr>
                <w:ilvl w:val="0"/>
                <w:numId w:val="2"/>
              </w:numPr>
              <w:jc w:val="center"/>
              <w:rPr>
                <w:sz w:val="24"/>
                <w:szCs w:val="24"/>
              </w:rPr>
            </w:pPr>
            <w:r w:rsidRPr="0049242D">
              <w:rPr>
                <w:rFonts w:hint="eastAsia"/>
                <w:sz w:val="24"/>
                <w:szCs w:val="24"/>
              </w:rPr>
              <w:t>202</w:t>
            </w:r>
            <w:r w:rsidR="00ED6FC0">
              <w:rPr>
                <w:rFonts w:hint="eastAsia"/>
                <w:sz w:val="24"/>
                <w:szCs w:val="24"/>
              </w:rPr>
              <w:t>2</w:t>
            </w:r>
          </w:p>
        </w:tc>
        <w:tc>
          <w:tcPr>
            <w:tcW w:w="5196" w:type="dxa"/>
          </w:tcPr>
          <w:p w14:paraId="68EF0469" w14:textId="4B31E2C5" w:rsidR="000C32FD" w:rsidRDefault="000C32FD" w:rsidP="009D040D">
            <w:pPr>
              <w:jc w:val="left"/>
              <w:rPr>
                <w:sz w:val="24"/>
                <w:szCs w:val="24"/>
              </w:rPr>
            </w:pPr>
          </w:p>
          <w:p w14:paraId="17EB98D1" w14:textId="77777777" w:rsidR="00736D4F" w:rsidRDefault="0049242D" w:rsidP="009D040D">
            <w:pPr>
              <w:jc w:val="left"/>
              <w:rPr>
                <w:sz w:val="24"/>
                <w:szCs w:val="24"/>
              </w:rPr>
            </w:pPr>
            <w:r>
              <w:rPr>
                <w:rFonts w:hint="eastAsia"/>
                <w:noProof/>
                <w:sz w:val="24"/>
                <w:szCs w:val="24"/>
              </w:rPr>
              <w:lastRenderedPageBreak/>
              <w:drawing>
                <wp:inline distT="0" distB="0" distL="0" distR="0" wp14:anchorId="4A56CF77" wp14:editId="1AAD29FB">
                  <wp:extent cx="2751289" cy="2210400"/>
                  <wp:effectExtent l="0" t="0" r="0" b="0"/>
                  <wp:docPr id="14600756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75619" name="图片 14600756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1289" cy="2210400"/>
                          </a:xfrm>
                          <a:prstGeom prst="rect">
                            <a:avLst/>
                          </a:prstGeom>
                        </pic:spPr>
                      </pic:pic>
                    </a:graphicData>
                  </a:graphic>
                </wp:inline>
              </w:drawing>
            </w:r>
          </w:p>
          <w:p w14:paraId="6F93F7A8" w14:textId="0E23F754" w:rsidR="0049242D" w:rsidRPr="0049242D" w:rsidRDefault="0049242D" w:rsidP="0049242D">
            <w:pPr>
              <w:pStyle w:val="ListParagraph"/>
              <w:numPr>
                <w:ilvl w:val="0"/>
                <w:numId w:val="2"/>
              </w:numPr>
              <w:jc w:val="center"/>
              <w:rPr>
                <w:sz w:val="24"/>
                <w:szCs w:val="24"/>
              </w:rPr>
            </w:pPr>
            <w:r>
              <w:rPr>
                <w:rFonts w:hint="eastAsia"/>
                <w:sz w:val="24"/>
                <w:szCs w:val="24"/>
              </w:rPr>
              <w:t>202</w:t>
            </w:r>
            <w:r w:rsidR="00ED6FC0">
              <w:rPr>
                <w:rFonts w:hint="eastAsia"/>
                <w:sz w:val="24"/>
                <w:szCs w:val="24"/>
              </w:rPr>
              <w:t>3</w:t>
            </w:r>
          </w:p>
        </w:tc>
      </w:tr>
      <w:tr w:rsidR="000C32FD" w14:paraId="175B254D" w14:textId="77777777" w:rsidTr="0049242D">
        <w:tc>
          <w:tcPr>
            <w:tcW w:w="3100" w:type="dxa"/>
          </w:tcPr>
          <w:p w14:paraId="05768CD3" w14:textId="7D69AC05" w:rsidR="000C32FD" w:rsidRDefault="0049242D" w:rsidP="009D040D">
            <w:pPr>
              <w:jc w:val="left"/>
              <w:rPr>
                <w:sz w:val="24"/>
                <w:szCs w:val="24"/>
              </w:rPr>
            </w:pPr>
            <w:r>
              <w:rPr>
                <w:noProof/>
                <w:sz w:val="24"/>
                <w:szCs w:val="24"/>
              </w:rPr>
              <w:lastRenderedPageBreak/>
              <w:drawing>
                <wp:inline distT="0" distB="0" distL="0" distR="0" wp14:anchorId="59F94469" wp14:editId="3A7E4F18">
                  <wp:extent cx="2751289" cy="2210400"/>
                  <wp:effectExtent l="0" t="0" r="0" b="0"/>
                  <wp:docPr id="65713388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33882" name="图片 65713388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1289" cy="2210400"/>
                          </a:xfrm>
                          <a:prstGeom prst="rect">
                            <a:avLst/>
                          </a:prstGeom>
                        </pic:spPr>
                      </pic:pic>
                    </a:graphicData>
                  </a:graphic>
                </wp:inline>
              </w:drawing>
            </w:r>
          </w:p>
          <w:p w14:paraId="41DFB1ED" w14:textId="40E9BDF8" w:rsidR="00736D4F" w:rsidRPr="0049242D" w:rsidRDefault="0049242D" w:rsidP="0049242D">
            <w:pPr>
              <w:pStyle w:val="ListParagraph"/>
              <w:numPr>
                <w:ilvl w:val="0"/>
                <w:numId w:val="2"/>
              </w:numPr>
              <w:jc w:val="center"/>
              <w:rPr>
                <w:sz w:val="24"/>
                <w:szCs w:val="24"/>
              </w:rPr>
            </w:pPr>
            <w:r>
              <w:rPr>
                <w:rFonts w:hint="eastAsia"/>
                <w:sz w:val="24"/>
                <w:szCs w:val="24"/>
              </w:rPr>
              <w:t>2024</w:t>
            </w:r>
          </w:p>
        </w:tc>
        <w:tc>
          <w:tcPr>
            <w:tcW w:w="5196" w:type="dxa"/>
          </w:tcPr>
          <w:p w14:paraId="0D97DD70" w14:textId="46580C82" w:rsidR="000C32FD" w:rsidRDefault="0049242D" w:rsidP="009D040D">
            <w:pPr>
              <w:jc w:val="left"/>
              <w:rPr>
                <w:sz w:val="24"/>
                <w:szCs w:val="24"/>
              </w:rPr>
            </w:pPr>
            <w:r>
              <w:rPr>
                <w:noProof/>
                <w:sz w:val="24"/>
                <w:szCs w:val="24"/>
              </w:rPr>
              <w:drawing>
                <wp:inline distT="0" distB="0" distL="0" distR="0" wp14:anchorId="3AE4B197" wp14:editId="3E75710A">
                  <wp:extent cx="2751289" cy="2210400"/>
                  <wp:effectExtent l="0" t="0" r="0" b="0"/>
                  <wp:docPr id="5690246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24641" name="图片 5690246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1289" cy="2210400"/>
                          </a:xfrm>
                          <a:prstGeom prst="rect">
                            <a:avLst/>
                          </a:prstGeom>
                        </pic:spPr>
                      </pic:pic>
                    </a:graphicData>
                  </a:graphic>
                </wp:inline>
              </w:drawing>
            </w:r>
          </w:p>
          <w:p w14:paraId="3DB9AE29" w14:textId="6A6FA9E4" w:rsidR="00736D4F" w:rsidRPr="0049242D" w:rsidRDefault="0049242D" w:rsidP="0049242D">
            <w:pPr>
              <w:pStyle w:val="ListParagraph"/>
              <w:numPr>
                <w:ilvl w:val="0"/>
                <w:numId w:val="2"/>
              </w:numPr>
              <w:jc w:val="center"/>
              <w:rPr>
                <w:sz w:val="24"/>
                <w:szCs w:val="24"/>
              </w:rPr>
            </w:pPr>
            <w:r>
              <w:rPr>
                <w:rFonts w:hint="eastAsia"/>
                <w:sz w:val="24"/>
                <w:szCs w:val="24"/>
              </w:rPr>
              <w:t>2025</w:t>
            </w:r>
          </w:p>
        </w:tc>
      </w:tr>
    </w:tbl>
    <w:p w14:paraId="174E628E" w14:textId="0B52278E" w:rsidR="00987EE9" w:rsidRDefault="000675DC" w:rsidP="00C860DD">
      <w:pPr>
        <w:jc w:val="center"/>
        <w:rPr>
          <w:sz w:val="24"/>
          <w:szCs w:val="24"/>
        </w:rPr>
      </w:pPr>
      <w:r>
        <w:rPr>
          <w:rFonts w:hint="eastAsia"/>
          <w:sz w:val="24"/>
          <w:szCs w:val="24"/>
        </w:rPr>
        <w:t>Fig.1</w:t>
      </w:r>
      <w:r w:rsidR="00CE493C">
        <w:rPr>
          <w:rFonts w:hint="eastAsia"/>
          <w:sz w:val="24"/>
          <w:szCs w:val="24"/>
        </w:rPr>
        <w:t>.</w:t>
      </w:r>
      <w:r>
        <w:rPr>
          <w:rFonts w:hint="eastAsia"/>
          <w:sz w:val="24"/>
          <w:szCs w:val="24"/>
        </w:rPr>
        <w:t xml:space="preserve"> S</w:t>
      </w:r>
      <w:r w:rsidR="005A2C68">
        <w:rPr>
          <w:rFonts w:hint="eastAsia"/>
          <w:sz w:val="24"/>
          <w:szCs w:val="24"/>
        </w:rPr>
        <w:t>quid jigging</w:t>
      </w:r>
      <w:r>
        <w:rPr>
          <w:rFonts w:hint="eastAsia"/>
          <w:sz w:val="24"/>
          <w:szCs w:val="24"/>
        </w:rPr>
        <w:t xml:space="preserve"> stations</w:t>
      </w:r>
      <w:r w:rsidR="005A2C68">
        <w:rPr>
          <w:rFonts w:hint="eastAsia"/>
          <w:sz w:val="24"/>
          <w:szCs w:val="24"/>
        </w:rPr>
        <w:t xml:space="preserve"> </w:t>
      </w:r>
      <w:r w:rsidR="001C0873">
        <w:rPr>
          <w:rFonts w:hint="eastAsia"/>
          <w:noProof/>
          <w:sz w:val="24"/>
          <w:szCs w:val="24"/>
        </w:rPr>
        <w:t>by Chinese squid jigging surveys</w:t>
      </w:r>
      <w:r w:rsidR="001C0873">
        <w:rPr>
          <w:rFonts w:hint="eastAsia"/>
          <w:sz w:val="24"/>
          <w:szCs w:val="24"/>
        </w:rPr>
        <w:t xml:space="preserve"> </w:t>
      </w:r>
      <w:r w:rsidR="005A2C68">
        <w:rPr>
          <w:rFonts w:hint="eastAsia"/>
          <w:sz w:val="24"/>
          <w:szCs w:val="24"/>
        </w:rPr>
        <w:t>between 2022-2025</w:t>
      </w:r>
    </w:p>
    <w:p w14:paraId="3FB9FCFF" w14:textId="77777777" w:rsidR="00715616" w:rsidRDefault="00715616" w:rsidP="00C860DD">
      <w:pPr>
        <w:jc w:val="center"/>
        <w:rPr>
          <w:sz w:val="24"/>
          <w:szCs w:val="24"/>
        </w:rPr>
      </w:pPr>
    </w:p>
    <w:p w14:paraId="6D77E1FB" w14:textId="6829F10D" w:rsidR="00715616" w:rsidRPr="0049242D" w:rsidRDefault="00715616" w:rsidP="007E0A33">
      <w:pPr>
        <w:rPr>
          <w:sz w:val="24"/>
          <w:szCs w:val="24"/>
        </w:rPr>
      </w:pPr>
    </w:p>
    <w:p w14:paraId="1C13954A" w14:textId="2A7A27CA" w:rsidR="0058395B" w:rsidRDefault="0058395B" w:rsidP="009D040D">
      <w:pPr>
        <w:jc w:val="left"/>
        <w:rPr>
          <w:sz w:val="24"/>
          <w:szCs w:val="24"/>
        </w:rPr>
      </w:pPr>
      <w:r>
        <w:rPr>
          <w:rFonts w:hint="eastAsia"/>
          <w:noProof/>
          <w:sz w:val="24"/>
          <w:szCs w:val="24"/>
        </w:rPr>
        <w:lastRenderedPageBreak/>
        <w:drawing>
          <wp:inline distT="0" distB="0" distL="0" distR="0" wp14:anchorId="2B552B94" wp14:editId="767AC050">
            <wp:extent cx="5274310" cy="3081655"/>
            <wp:effectExtent l="0" t="0" r="2540" b="4445"/>
            <wp:docPr id="11602491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49162" name="图片 11602491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081655"/>
                    </a:xfrm>
                    <a:prstGeom prst="rect">
                      <a:avLst/>
                    </a:prstGeom>
                  </pic:spPr>
                </pic:pic>
              </a:graphicData>
            </a:graphic>
          </wp:inline>
        </w:drawing>
      </w:r>
    </w:p>
    <w:p w14:paraId="4E4C2879" w14:textId="33EFF518" w:rsidR="003B35B1" w:rsidRPr="001C0873" w:rsidRDefault="003B35B1" w:rsidP="003B35B1">
      <w:pPr>
        <w:jc w:val="left"/>
        <w:rPr>
          <w:noProof/>
          <w:sz w:val="24"/>
          <w:szCs w:val="24"/>
        </w:rPr>
      </w:pPr>
      <w:r>
        <w:rPr>
          <w:rFonts w:hint="eastAsia"/>
          <w:noProof/>
          <w:sz w:val="24"/>
          <w:szCs w:val="24"/>
        </w:rPr>
        <w:t>Fig.</w:t>
      </w:r>
      <w:r w:rsidR="007E0A33">
        <w:rPr>
          <w:rFonts w:hint="eastAsia"/>
          <w:noProof/>
          <w:sz w:val="24"/>
          <w:szCs w:val="24"/>
        </w:rPr>
        <w:t>2</w:t>
      </w:r>
      <w:r w:rsidR="00CE493C">
        <w:rPr>
          <w:rFonts w:hint="eastAsia"/>
          <w:noProof/>
          <w:sz w:val="24"/>
          <w:szCs w:val="24"/>
        </w:rPr>
        <w:t>.</w:t>
      </w:r>
      <w:r>
        <w:rPr>
          <w:rFonts w:hint="eastAsia"/>
          <w:noProof/>
          <w:sz w:val="24"/>
          <w:szCs w:val="24"/>
        </w:rPr>
        <w:t xml:space="preserve"> </w:t>
      </w:r>
      <w:r w:rsidR="000675DC">
        <w:rPr>
          <w:rFonts w:hint="eastAsia"/>
          <w:noProof/>
          <w:sz w:val="24"/>
          <w:szCs w:val="24"/>
        </w:rPr>
        <w:t>Overall m</w:t>
      </w:r>
      <w:r w:rsidR="00637955">
        <w:rPr>
          <w:rFonts w:hint="eastAsia"/>
          <w:noProof/>
          <w:sz w:val="24"/>
          <w:szCs w:val="24"/>
        </w:rPr>
        <w:t>antle length composition</w:t>
      </w:r>
      <w:r w:rsidR="000675DC">
        <w:rPr>
          <w:rFonts w:hint="eastAsia"/>
          <w:noProof/>
          <w:sz w:val="24"/>
          <w:szCs w:val="24"/>
        </w:rPr>
        <w:t xml:space="preserve"> of neon flying squid by Chinese squid jigging surveys</w:t>
      </w:r>
      <w:r w:rsidR="001C0873">
        <w:rPr>
          <w:rFonts w:hint="eastAsia"/>
          <w:noProof/>
          <w:sz w:val="24"/>
          <w:szCs w:val="24"/>
        </w:rPr>
        <w:t xml:space="preserve"> </w:t>
      </w:r>
      <w:r w:rsidR="001C0873" w:rsidRPr="001C0873">
        <w:rPr>
          <w:noProof/>
          <w:sz w:val="24"/>
          <w:szCs w:val="24"/>
        </w:rPr>
        <w:t>in the Northwest Pacific Ocean from 2022 to 2025</w:t>
      </w:r>
    </w:p>
    <w:p w14:paraId="56BF2FB0" w14:textId="77777777" w:rsidR="00AD2D62" w:rsidRDefault="00AD2D62" w:rsidP="003B35B1">
      <w:pPr>
        <w:jc w:val="left"/>
        <w:rPr>
          <w:noProof/>
          <w:sz w:val="24"/>
          <w:szCs w:val="24"/>
        </w:rPr>
      </w:pPr>
    </w:p>
    <w:p w14:paraId="7630FC0B" w14:textId="3B1AD8A2" w:rsidR="00CE493C" w:rsidRDefault="00AD2D62" w:rsidP="003B35B1">
      <w:pPr>
        <w:jc w:val="left"/>
        <w:rPr>
          <w:noProof/>
          <w:sz w:val="24"/>
          <w:szCs w:val="24"/>
        </w:rPr>
      </w:pPr>
      <w:r>
        <w:rPr>
          <w:noProof/>
          <w:sz w:val="24"/>
          <w:szCs w:val="24"/>
        </w:rPr>
        <w:drawing>
          <wp:inline distT="0" distB="0" distL="0" distR="0" wp14:anchorId="0FF59B3E" wp14:editId="1B4925F4">
            <wp:extent cx="6004560" cy="3508375"/>
            <wp:effectExtent l="0" t="0" r="0" b="0"/>
            <wp:docPr id="19157532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53212" name="图片 19157532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04560" cy="3508375"/>
                    </a:xfrm>
                    <a:prstGeom prst="rect">
                      <a:avLst/>
                    </a:prstGeom>
                  </pic:spPr>
                </pic:pic>
              </a:graphicData>
            </a:graphic>
          </wp:inline>
        </w:drawing>
      </w:r>
    </w:p>
    <w:p w14:paraId="34ECCA87" w14:textId="188446D3" w:rsidR="00AD2D62" w:rsidRDefault="00AD2D62" w:rsidP="00AD2D62">
      <w:pPr>
        <w:jc w:val="left"/>
        <w:rPr>
          <w:noProof/>
          <w:sz w:val="24"/>
          <w:szCs w:val="24"/>
        </w:rPr>
      </w:pPr>
      <w:r>
        <w:rPr>
          <w:rFonts w:hint="eastAsia"/>
          <w:noProof/>
          <w:sz w:val="24"/>
          <w:szCs w:val="24"/>
        </w:rPr>
        <w:t>Fig.</w:t>
      </w:r>
      <w:r w:rsidR="007E0A33">
        <w:rPr>
          <w:rFonts w:hint="eastAsia"/>
          <w:noProof/>
          <w:sz w:val="24"/>
          <w:szCs w:val="24"/>
        </w:rPr>
        <w:t>3</w:t>
      </w:r>
      <w:r>
        <w:rPr>
          <w:rFonts w:hint="eastAsia"/>
          <w:noProof/>
          <w:sz w:val="24"/>
          <w:szCs w:val="24"/>
        </w:rPr>
        <w:t xml:space="preserve">. </w:t>
      </w:r>
      <w:r w:rsidR="001C0873" w:rsidRPr="001C0873">
        <w:rPr>
          <w:noProof/>
          <w:sz w:val="24"/>
          <w:szCs w:val="24"/>
        </w:rPr>
        <w:t>Annual mantle length composition of neon flying squid by Chinese squid jigging surveys in the Northwest Pacific Ocean from 2022 to 2025</w:t>
      </w:r>
    </w:p>
    <w:p w14:paraId="42A3F378" w14:textId="77777777" w:rsidR="00AD2D62" w:rsidRPr="00AD2D62" w:rsidRDefault="00AD2D62" w:rsidP="003B35B1">
      <w:pPr>
        <w:jc w:val="left"/>
        <w:rPr>
          <w:noProof/>
          <w:sz w:val="24"/>
          <w:szCs w:val="24"/>
        </w:rPr>
      </w:pPr>
    </w:p>
    <w:p w14:paraId="2357C6E4" w14:textId="28F20F00" w:rsidR="00ED6FC0" w:rsidRDefault="00CE493C" w:rsidP="003B35B1">
      <w:pPr>
        <w:jc w:val="left"/>
        <w:rPr>
          <w:sz w:val="24"/>
          <w:szCs w:val="24"/>
        </w:rPr>
      </w:pPr>
      <w:r>
        <w:rPr>
          <w:rFonts w:hint="eastAsia"/>
          <w:noProof/>
          <w:sz w:val="24"/>
          <w:szCs w:val="24"/>
        </w:rPr>
        <w:lastRenderedPageBreak/>
        <w:drawing>
          <wp:inline distT="0" distB="0" distL="0" distR="0" wp14:anchorId="69364CD6" wp14:editId="4456AA4C">
            <wp:extent cx="6004560" cy="3508375"/>
            <wp:effectExtent l="0" t="0" r="0" b="0"/>
            <wp:docPr id="25432586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25865" name="图片 25432586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04560" cy="3508375"/>
                    </a:xfrm>
                    <a:prstGeom prst="rect">
                      <a:avLst/>
                    </a:prstGeom>
                  </pic:spPr>
                </pic:pic>
              </a:graphicData>
            </a:graphic>
          </wp:inline>
        </w:drawing>
      </w:r>
    </w:p>
    <w:p w14:paraId="179AD41F" w14:textId="341C32E8" w:rsidR="00CE493C" w:rsidRDefault="00CE493C" w:rsidP="003B35B1">
      <w:pPr>
        <w:jc w:val="left"/>
        <w:rPr>
          <w:sz w:val="24"/>
          <w:szCs w:val="24"/>
        </w:rPr>
      </w:pPr>
      <w:r w:rsidRPr="00CE493C">
        <w:rPr>
          <w:sz w:val="24"/>
          <w:szCs w:val="24"/>
        </w:rPr>
        <w:t xml:space="preserve">Fig. </w:t>
      </w:r>
      <w:r w:rsidR="007E0A33">
        <w:rPr>
          <w:rFonts w:hint="eastAsia"/>
          <w:sz w:val="24"/>
          <w:szCs w:val="24"/>
        </w:rPr>
        <w:t>4</w:t>
      </w:r>
      <w:r w:rsidRPr="00CE493C">
        <w:rPr>
          <w:sz w:val="24"/>
          <w:szCs w:val="24"/>
        </w:rPr>
        <w:t>. Length–weight relationships of neon flying squid by year and for all years combined during 2022–2025.</w:t>
      </w:r>
    </w:p>
    <w:p w14:paraId="1124DD58" w14:textId="7B463D44" w:rsidR="003B35B1" w:rsidRDefault="008D44DF" w:rsidP="009D040D">
      <w:pPr>
        <w:jc w:val="left"/>
        <w:rPr>
          <w:sz w:val="24"/>
          <w:szCs w:val="24"/>
        </w:rPr>
      </w:pPr>
      <w:r>
        <w:rPr>
          <w:rFonts w:hint="eastAsia"/>
          <w:noProof/>
          <w:sz w:val="24"/>
          <w:szCs w:val="24"/>
        </w:rPr>
        <w:drawing>
          <wp:inline distT="0" distB="0" distL="0" distR="0" wp14:anchorId="50A943F3" wp14:editId="48264581">
            <wp:extent cx="6004560" cy="3508375"/>
            <wp:effectExtent l="0" t="0" r="0" b="0"/>
            <wp:docPr id="14854976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97625" name="图片 14854976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04560" cy="3508375"/>
                    </a:xfrm>
                    <a:prstGeom prst="rect">
                      <a:avLst/>
                    </a:prstGeom>
                  </pic:spPr>
                </pic:pic>
              </a:graphicData>
            </a:graphic>
          </wp:inline>
        </w:drawing>
      </w:r>
    </w:p>
    <w:p w14:paraId="63CE9B25" w14:textId="12F0E0B1" w:rsidR="008D44DF" w:rsidRDefault="008D44DF" w:rsidP="00C860DD">
      <w:pPr>
        <w:jc w:val="center"/>
        <w:rPr>
          <w:sz w:val="24"/>
          <w:szCs w:val="24"/>
        </w:rPr>
      </w:pPr>
      <w:r>
        <w:rPr>
          <w:rFonts w:hint="eastAsia"/>
          <w:noProof/>
          <w:sz w:val="24"/>
          <w:szCs w:val="24"/>
        </w:rPr>
        <w:t>Fig.</w:t>
      </w:r>
      <w:r w:rsidR="007E0A33">
        <w:rPr>
          <w:rFonts w:hint="eastAsia"/>
          <w:noProof/>
          <w:sz w:val="24"/>
          <w:szCs w:val="24"/>
        </w:rPr>
        <w:t>5</w:t>
      </w:r>
      <w:r>
        <w:rPr>
          <w:rFonts w:hint="eastAsia"/>
          <w:noProof/>
          <w:sz w:val="24"/>
          <w:szCs w:val="24"/>
        </w:rPr>
        <w:t xml:space="preserve"> Mantle length composition of neon flying squid by Chinese squid jigging surveys by sex</w:t>
      </w:r>
    </w:p>
    <w:p w14:paraId="6CFDE888" w14:textId="37A99F80" w:rsidR="008D44DF" w:rsidRDefault="00905B32" w:rsidP="009D040D">
      <w:pPr>
        <w:jc w:val="left"/>
        <w:rPr>
          <w:sz w:val="24"/>
          <w:szCs w:val="24"/>
        </w:rPr>
      </w:pPr>
      <w:r>
        <w:rPr>
          <w:noProof/>
          <w:sz w:val="24"/>
          <w:szCs w:val="24"/>
        </w:rPr>
        <w:lastRenderedPageBreak/>
        <w:drawing>
          <wp:inline distT="0" distB="0" distL="0" distR="0" wp14:anchorId="0158D41C" wp14:editId="3B3C8C1D">
            <wp:extent cx="6004560" cy="3508375"/>
            <wp:effectExtent l="0" t="0" r="0" b="0"/>
            <wp:docPr id="9963291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29146" name="图片 99632914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04560" cy="3508375"/>
                    </a:xfrm>
                    <a:prstGeom prst="rect">
                      <a:avLst/>
                    </a:prstGeom>
                  </pic:spPr>
                </pic:pic>
              </a:graphicData>
            </a:graphic>
          </wp:inline>
        </w:drawing>
      </w:r>
    </w:p>
    <w:p w14:paraId="56C4031B" w14:textId="1F859749" w:rsidR="00793413" w:rsidRDefault="00793413" w:rsidP="00793413">
      <w:pPr>
        <w:jc w:val="center"/>
        <w:rPr>
          <w:sz w:val="24"/>
          <w:szCs w:val="24"/>
        </w:rPr>
      </w:pPr>
      <w:r w:rsidRPr="00793413">
        <w:rPr>
          <w:sz w:val="24"/>
          <w:szCs w:val="24"/>
        </w:rPr>
        <w:t xml:space="preserve">Fig. </w:t>
      </w:r>
      <w:r w:rsidR="007E0A33">
        <w:rPr>
          <w:rFonts w:hint="eastAsia"/>
          <w:sz w:val="24"/>
          <w:szCs w:val="24"/>
        </w:rPr>
        <w:t>6</w:t>
      </w:r>
      <w:r w:rsidRPr="00793413">
        <w:rPr>
          <w:sz w:val="24"/>
          <w:szCs w:val="24"/>
        </w:rPr>
        <w:t xml:space="preserve">. Sex composition of neon flying squid at different </w:t>
      </w:r>
      <w:r>
        <w:rPr>
          <w:rFonts w:hint="eastAsia"/>
          <w:sz w:val="24"/>
          <w:szCs w:val="24"/>
        </w:rPr>
        <w:t>sexual</w:t>
      </w:r>
      <w:r w:rsidRPr="00793413">
        <w:rPr>
          <w:sz w:val="24"/>
          <w:szCs w:val="24"/>
        </w:rPr>
        <w:t xml:space="preserve"> maturity stages in the Northwest Pacific Ocean from 202</w:t>
      </w:r>
      <w:r w:rsidR="001C0873">
        <w:rPr>
          <w:rFonts w:hint="eastAsia"/>
          <w:sz w:val="24"/>
          <w:szCs w:val="24"/>
        </w:rPr>
        <w:t>2</w:t>
      </w:r>
      <w:r w:rsidRPr="00793413">
        <w:rPr>
          <w:sz w:val="24"/>
          <w:szCs w:val="24"/>
        </w:rPr>
        <w:t xml:space="preserve"> to 2025.</w:t>
      </w:r>
    </w:p>
    <w:p w14:paraId="23937565" w14:textId="77777777" w:rsidR="001C0873" w:rsidRDefault="001C0873" w:rsidP="00793413">
      <w:pPr>
        <w:jc w:val="center"/>
        <w:rPr>
          <w:sz w:val="24"/>
          <w:szCs w:val="24"/>
        </w:rPr>
      </w:pPr>
    </w:p>
    <w:p w14:paraId="435276A9" w14:textId="764E5DD5" w:rsidR="00773361" w:rsidRDefault="00AD2D62" w:rsidP="009D040D">
      <w:pPr>
        <w:jc w:val="left"/>
        <w:rPr>
          <w:sz w:val="24"/>
          <w:szCs w:val="24"/>
        </w:rPr>
      </w:pPr>
      <w:r>
        <w:rPr>
          <w:noProof/>
          <w:sz w:val="24"/>
          <w:szCs w:val="24"/>
        </w:rPr>
        <w:drawing>
          <wp:inline distT="0" distB="0" distL="0" distR="0" wp14:anchorId="3772A299" wp14:editId="2D4416FD">
            <wp:extent cx="6004560" cy="3508375"/>
            <wp:effectExtent l="0" t="0" r="0" b="0"/>
            <wp:docPr id="20244602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60221" name="图片 20244602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04560" cy="3508375"/>
                    </a:xfrm>
                    <a:prstGeom prst="rect">
                      <a:avLst/>
                    </a:prstGeom>
                  </pic:spPr>
                </pic:pic>
              </a:graphicData>
            </a:graphic>
          </wp:inline>
        </w:drawing>
      </w:r>
    </w:p>
    <w:p w14:paraId="4826C5DE" w14:textId="01C0C720" w:rsidR="00856E5F" w:rsidRDefault="00856E5F" w:rsidP="00C860DD">
      <w:pPr>
        <w:jc w:val="center"/>
        <w:rPr>
          <w:sz w:val="24"/>
          <w:szCs w:val="24"/>
        </w:rPr>
      </w:pPr>
      <w:r>
        <w:rPr>
          <w:rFonts w:hint="eastAsia"/>
          <w:noProof/>
          <w:sz w:val="24"/>
          <w:szCs w:val="24"/>
        </w:rPr>
        <w:t>Fig.</w:t>
      </w:r>
      <w:r w:rsidR="007E0A33">
        <w:rPr>
          <w:rFonts w:hint="eastAsia"/>
          <w:noProof/>
          <w:sz w:val="24"/>
          <w:szCs w:val="24"/>
        </w:rPr>
        <w:t>7</w:t>
      </w:r>
      <w:r w:rsidR="00793413">
        <w:rPr>
          <w:rFonts w:hint="eastAsia"/>
          <w:noProof/>
          <w:sz w:val="24"/>
          <w:szCs w:val="24"/>
        </w:rPr>
        <w:t>.</w:t>
      </w:r>
      <w:r>
        <w:rPr>
          <w:rFonts w:hint="eastAsia"/>
          <w:noProof/>
          <w:sz w:val="24"/>
          <w:szCs w:val="24"/>
        </w:rPr>
        <w:t xml:space="preserve"> Mantle length composition of neon flying squid by sexual maturity</w:t>
      </w:r>
    </w:p>
    <w:p w14:paraId="64B32888" w14:textId="1D0ADECF" w:rsidR="00856E5F" w:rsidRDefault="00AD2D62" w:rsidP="009D040D">
      <w:pPr>
        <w:jc w:val="left"/>
        <w:rPr>
          <w:sz w:val="24"/>
          <w:szCs w:val="24"/>
        </w:rPr>
      </w:pPr>
      <w:r>
        <w:rPr>
          <w:noProof/>
          <w:sz w:val="24"/>
          <w:szCs w:val="24"/>
        </w:rPr>
        <w:lastRenderedPageBreak/>
        <w:drawing>
          <wp:inline distT="0" distB="0" distL="0" distR="0" wp14:anchorId="45126FFC" wp14:editId="47AD8B2D">
            <wp:extent cx="6004560" cy="3508375"/>
            <wp:effectExtent l="0" t="0" r="0" b="0"/>
            <wp:docPr id="9622472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47244" name="图片 96224724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04560" cy="3508375"/>
                    </a:xfrm>
                    <a:prstGeom prst="rect">
                      <a:avLst/>
                    </a:prstGeom>
                  </pic:spPr>
                </pic:pic>
              </a:graphicData>
            </a:graphic>
          </wp:inline>
        </w:drawing>
      </w:r>
    </w:p>
    <w:p w14:paraId="08B60B28" w14:textId="3813DC06" w:rsidR="00C860DD" w:rsidRDefault="00C860DD" w:rsidP="00C860DD">
      <w:pPr>
        <w:jc w:val="center"/>
        <w:rPr>
          <w:sz w:val="24"/>
          <w:szCs w:val="24"/>
        </w:rPr>
      </w:pPr>
      <w:r>
        <w:rPr>
          <w:rFonts w:hint="eastAsia"/>
          <w:sz w:val="24"/>
          <w:szCs w:val="24"/>
        </w:rPr>
        <w:t>Fig.</w:t>
      </w:r>
      <w:r w:rsidR="007E0A33">
        <w:rPr>
          <w:rFonts w:hint="eastAsia"/>
          <w:sz w:val="24"/>
          <w:szCs w:val="24"/>
        </w:rPr>
        <w:t>8</w:t>
      </w:r>
      <w:r w:rsidR="00793413">
        <w:rPr>
          <w:rFonts w:hint="eastAsia"/>
          <w:sz w:val="24"/>
          <w:szCs w:val="24"/>
        </w:rPr>
        <w:t>.</w:t>
      </w:r>
      <w:r>
        <w:rPr>
          <w:rFonts w:hint="eastAsia"/>
          <w:sz w:val="24"/>
          <w:szCs w:val="24"/>
        </w:rPr>
        <w:t xml:space="preserve"> </w:t>
      </w:r>
      <w:r w:rsidRPr="00C860DD">
        <w:rPr>
          <w:sz w:val="24"/>
          <w:szCs w:val="24"/>
        </w:rPr>
        <w:t>Annual mantle length composition of neon flying squid</w:t>
      </w:r>
      <w:r>
        <w:rPr>
          <w:rFonts w:hint="eastAsia"/>
          <w:sz w:val="24"/>
          <w:szCs w:val="24"/>
        </w:rPr>
        <w:t xml:space="preserve"> by sexual maturity</w:t>
      </w:r>
    </w:p>
    <w:p w14:paraId="425AA5C5" w14:textId="77777777" w:rsidR="00C62C49" w:rsidRPr="00856E5F" w:rsidRDefault="00C62C49" w:rsidP="00EB6387">
      <w:pPr>
        <w:rPr>
          <w:sz w:val="24"/>
          <w:szCs w:val="24"/>
        </w:rPr>
      </w:pPr>
    </w:p>
    <w:sectPr w:rsidR="00C62C49" w:rsidRPr="00856E5F" w:rsidSect="00E75382">
      <w:headerReference w:type="default" r:id="rId19"/>
      <w:headerReference w:type="first" r:id="rId20"/>
      <w:pgSz w:w="11906" w:h="16838"/>
      <w:pgMar w:top="1701" w:right="1225" w:bottom="1361" w:left="1225"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42D9B" w14:textId="77777777" w:rsidR="009B5A5A" w:rsidRDefault="009B5A5A" w:rsidP="00B05333">
      <w:r>
        <w:separator/>
      </w:r>
    </w:p>
  </w:endnote>
  <w:endnote w:type="continuationSeparator" w:id="0">
    <w:p w14:paraId="30D59BD9" w14:textId="77777777" w:rsidR="009B5A5A" w:rsidRDefault="009B5A5A" w:rsidP="00B0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E988B" w14:textId="77777777" w:rsidR="009B5A5A" w:rsidRDefault="009B5A5A" w:rsidP="00B05333">
      <w:r>
        <w:separator/>
      </w:r>
    </w:p>
  </w:footnote>
  <w:footnote w:type="continuationSeparator" w:id="0">
    <w:p w14:paraId="28173EAA" w14:textId="77777777" w:rsidR="009B5A5A" w:rsidRDefault="009B5A5A" w:rsidP="00B05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9F3C" w14:textId="5BAEFF90" w:rsidR="00602CD1" w:rsidRDefault="00602CD1" w:rsidP="00602CD1">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A2A4" w14:textId="4CE82960" w:rsidR="00E75382" w:rsidRDefault="00E75382" w:rsidP="00E75382">
    <w:pPr>
      <w:pStyle w:val="Header"/>
      <w:jc w:val="left"/>
    </w:pPr>
    <w:r>
      <w:rPr>
        <w:noProof/>
        <w:lang w:eastAsia="en-US"/>
      </w:rPr>
      <w:drawing>
        <wp:anchor distT="0" distB="0" distL="114300" distR="114300" simplePos="0" relativeHeight="251659264" behindDoc="1" locked="0" layoutInCell="1" allowOverlap="1" wp14:anchorId="2FAD9548" wp14:editId="59DE4A3C">
          <wp:simplePos x="0" y="0"/>
          <wp:positionH relativeFrom="margin">
            <wp:posOffset>2465705</wp:posOffset>
          </wp:positionH>
          <wp:positionV relativeFrom="paragraph">
            <wp:posOffset>-437515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0288" behindDoc="1" locked="0" layoutInCell="1" allowOverlap="0" wp14:anchorId="36155E82" wp14:editId="429B4621">
              <wp:simplePos x="0" y="0"/>
              <wp:positionH relativeFrom="margin">
                <wp:posOffset>1304014</wp:posOffset>
              </wp:positionH>
              <wp:positionV relativeFrom="paragraph">
                <wp:posOffset>336744</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38F1AE4" w14:textId="77777777" w:rsidR="00E75382" w:rsidRPr="00D42168" w:rsidRDefault="00E75382" w:rsidP="00E7538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55E82" id="_x0000_t202" coordsize="21600,21600" o:spt="202" path="m,l,21600r21600,l21600,xe">
              <v:stroke joinstyle="miter"/>
              <v:path gradientshapeok="t" o:connecttype="rect"/>
            </v:shapetype>
            <v:shape id="テキスト ボックス 15" o:spid="_x0000_s1026" type="#_x0000_t202" style="position:absolute;margin-left:102.7pt;margin-top:26.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" o:allowoverlap="f" filled="f" stroked="f" strokeweight=".5pt">
              <v:textbox>
                <w:txbxContent>
                  <w:p w14:paraId="638F1AE4" w14:textId="77777777" w:rsidR="00E75382" w:rsidRPr="00D42168" w:rsidRDefault="00E75382" w:rsidP="00E7538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1515"/>
    <w:multiLevelType w:val="hybridMultilevel"/>
    <w:tmpl w:val="B15203CE"/>
    <w:lvl w:ilvl="0" w:tplc="9C3C5906">
      <w:start w:val="1"/>
      <w:numFmt w:val="lowerLetter"/>
      <w:lvlText w:val="(%1)"/>
      <w:lvlJc w:val="left"/>
      <w:pPr>
        <w:ind w:left="2520" w:hanging="360"/>
      </w:pPr>
      <w:rPr>
        <w:rFonts w:hint="default"/>
      </w:rPr>
    </w:lvl>
    <w:lvl w:ilvl="1" w:tplc="04090019" w:tentative="1">
      <w:start w:val="1"/>
      <w:numFmt w:val="lowerLetter"/>
      <w:lvlText w:val="%2)"/>
      <w:lvlJc w:val="left"/>
      <w:pPr>
        <w:ind w:left="3040" w:hanging="440"/>
      </w:pPr>
    </w:lvl>
    <w:lvl w:ilvl="2" w:tplc="0409001B" w:tentative="1">
      <w:start w:val="1"/>
      <w:numFmt w:val="lowerRoman"/>
      <w:lvlText w:val="%3."/>
      <w:lvlJc w:val="right"/>
      <w:pPr>
        <w:ind w:left="3480" w:hanging="440"/>
      </w:pPr>
    </w:lvl>
    <w:lvl w:ilvl="3" w:tplc="0409000F" w:tentative="1">
      <w:start w:val="1"/>
      <w:numFmt w:val="decimal"/>
      <w:lvlText w:val="%4."/>
      <w:lvlJc w:val="left"/>
      <w:pPr>
        <w:ind w:left="3920" w:hanging="440"/>
      </w:pPr>
    </w:lvl>
    <w:lvl w:ilvl="4" w:tplc="04090019" w:tentative="1">
      <w:start w:val="1"/>
      <w:numFmt w:val="lowerLetter"/>
      <w:lvlText w:val="%5)"/>
      <w:lvlJc w:val="left"/>
      <w:pPr>
        <w:ind w:left="4360" w:hanging="440"/>
      </w:pPr>
    </w:lvl>
    <w:lvl w:ilvl="5" w:tplc="0409001B" w:tentative="1">
      <w:start w:val="1"/>
      <w:numFmt w:val="lowerRoman"/>
      <w:lvlText w:val="%6."/>
      <w:lvlJc w:val="right"/>
      <w:pPr>
        <w:ind w:left="4800" w:hanging="440"/>
      </w:pPr>
    </w:lvl>
    <w:lvl w:ilvl="6" w:tplc="0409000F" w:tentative="1">
      <w:start w:val="1"/>
      <w:numFmt w:val="decimal"/>
      <w:lvlText w:val="%7."/>
      <w:lvlJc w:val="left"/>
      <w:pPr>
        <w:ind w:left="5240" w:hanging="440"/>
      </w:pPr>
    </w:lvl>
    <w:lvl w:ilvl="7" w:tplc="04090019" w:tentative="1">
      <w:start w:val="1"/>
      <w:numFmt w:val="lowerLetter"/>
      <w:lvlText w:val="%8)"/>
      <w:lvlJc w:val="left"/>
      <w:pPr>
        <w:ind w:left="5680" w:hanging="440"/>
      </w:pPr>
    </w:lvl>
    <w:lvl w:ilvl="8" w:tplc="0409001B" w:tentative="1">
      <w:start w:val="1"/>
      <w:numFmt w:val="lowerRoman"/>
      <w:lvlText w:val="%9."/>
      <w:lvlJc w:val="right"/>
      <w:pPr>
        <w:ind w:left="6120" w:hanging="440"/>
      </w:pPr>
    </w:lvl>
  </w:abstractNum>
  <w:abstractNum w:abstractNumId="1" w15:restartNumberingAfterBreak="0">
    <w:nsid w:val="34D623D8"/>
    <w:multiLevelType w:val="hybridMultilevel"/>
    <w:tmpl w:val="54BAD4C6"/>
    <w:lvl w:ilvl="0" w:tplc="485A0FC4">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31591717">
    <w:abstractNumId w:val="0"/>
  </w:num>
  <w:num w:numId="2" w16cid:durableId="1752972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7B"/>
    <w:rsid w:val="00022921"/>
    <w:rsid w:val="000675DC"/>
    <w:rsid w:val="00067A99"/>
    <w:rsid w:val="000830A6"/>
    <w:rsid w:val="00096892"/>
    <w:rsid w:val="000A2E57"/>
    <w:rsid w:val="000C32FD"/>
    <w:rsid w:val="0013184B"/>
    <w:rsid w:val="001A50B5"/>
    <w:rsid w:val="001C0873"/>
    <w:rsid w:val="00213E9F"/>
    <w:rsid w:val="00217EB5"/>
    <w:rsid w:val="00225945"/>
    <w:rsid w:val="00235D61"/>
    <w:rsid w:val="00256782"/>
    <w:rsid w:val="00273A10"/>
    <w:rsid w:val="002846DA"/>
    <w:rsid w:val="00294E3F"/>
    <w:rsid w:val="00300E7B"/>
    <w:rsid w:val="00334E79"/>
    <w:rsid w:val="0035347B"/>
    <w:rsid w:val="003B28BD"/>
    <w:rsid w:val="003B35B1"/>
    <w:rsid w:val="004036DC"/>
    <w:rsid w:val="00404035"/>
    <w:rsid w:val="00432CAE"/>
    <w:rsid w:val="00457781"/>
    <w:rsid w:val="0049242D"/>
    <w:rsid w:val="00496ECE"/>
    <w:rsid w:val="004E2423"/>
    <w:rsid w:val="004E3EAF"/>
    <w:rsid w:val="005113A3"/>
    <w:rsid w:val="00527366"/>
    <w:rsid w:val="00531F05"/>
    <w:rsid w:val="00572DF4"/>
    <w:rsid w:val="0058395B"/>
    <w:rsid w:val="005A2C68"/>
    <w:rsid w:val="005E4042"/>
    <w:rsid w:val="00602CD1"/>
    <w:rsid w:val="00627D9C"/>
    <w:rsid w:val="00637955"/>
    <w:rsid w:val="00644747"/>
    <w:rsid w:val="006478A4"/>
    <w:rsid w:val="006642FB"/>
    <w:rsid w:val="00670843"/>
    <w:rsid w:val="006C619A"/>
    <w:rsid w:val="007030A4"/>
    <w:rsid w:val="00715616"/>
    <w:rsid w:val="00736D4F"/>
    <w:rsid w:val="00773361"/>
    <w:rsid w:val="00793413"/>
    <w:rsid w:val="007B19CA"/>
    <w:rsid w:val="007E0A33"/>
    <w:rsid w:val="007F073B"/>
    <w:rsid w:val="00816FE0"/>
    <w:rsid w:val="00826C0D"/>
    <w:rsid w:val="00852DD5"/>
    <w:rsid w:val="00856E5F"/>
    <w:rsid w:val="00862366"/>
    <w:rsid w:val="008A2F13"/>
    <w:rsid w:val="008A6845"/>
    <w:rsid w:val="008B3962"/>
    <w:rsid w:val="008C694F"/>
    <w:rsid w:val="008D01C4"/>
    <w:rsid w:val="008D44DF"/>
    <w:rsid w:val="008F2357"/>
    <w:rsid w:val="008F3991"/>
    <w:rsid w:val="00905B32"/>
    <w:rsid w:val="00912200"/>
    <w:rsid w:val="00912630"/>
    <w:rsid w:val="00926E68"/>
    <w:rsid w:val="009339CF"/>
    <w:rsid w:val="00961B8C"/>
    <w:rsid w:val="00987EE9"/>
    <w:rsid w:val="0099461F"/>
    <w:rsid w:val="009A17D7"/>
    <w:rsid w:val="009B5A5A"/>
    <w:rsid w:val="009B688C"/>
    <w:rsid w:val="009C104C"/>
    <w:rsid w:val="009C2801"/>
    <w:rsid w:val="009C7E6C"/>
    <w:rsid w:val="009D040D"/>
    <w:rsid w:val="009F5BD6"/>
    <w:rsid w:val="009F671E"/>
    <w:rsid w:val="00A6184C"/>
    <w:rsid w:val="00A65867"/>
    <w:rsid w:val="00A70DB0"/>
    <w:rsid w:val="00A91C99"/>
    <w:rsid w:val="00AD2D62"/>
    <w:rsid w:val="00B05333"/>
    <w:rsid w:val="00B8145C"/>
    <w:rsid w:val="00C43F75"/>
    <w:rsid w:val="00C62C49"/>
    <w:rsid w:val="00C860DD"/>
    <w:rsid w:val="00CC3A9B"/>
    <w:rsid w:val="00CE493C"/>
    <w:rsid w:val="00CE4A84"/>
    <w:rsid w:val="00CF3B6E"/>
    <w:rsid w:val="00D0773C"/>
    <w:rsid w:val="00D514BC"/>
    <w:rsid w:val="00D71006"/>
    <w:rsid w:val="00DC2238"/>
    <w:rsid w:val="00DD22E6"/>
    <w:rsid w:val="00E25085"/>
    <w:rsid w:val="00E2512D"/>
    <w:rsid w:val="00E26783"/>
    <w:rsid w:val="00E75382"/>
    <w:rsid w:val="00E85A6A"/>
    <w:rsid w:val="00EB6387"/>
    <w:rsid w:val="00ED6FC0"/>
    <w:rsid w:val="00EF59A8"/>
    <w:rsid w:val="00EF6056"/>
    <w:rsid w:val="00F0223A"/>
    <w:rsid w:val="00F77BF5"/>
    <w:rsid w:val="00FB3EE8"/>
    <w:rsid w:val="00FB7F56"/>
    <w:rsid w:val="00FE7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B4B12"/>
  <w15:chartTrackingRefBased/>
  <w15:docId w15:val="{54DF0B20-2EF1-43AD-8B50-3F0969A7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35347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35347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35347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5347B"/>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35347B"/>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35347B"/>
    <w:pPr>
      <w:keepNext/>
      <w:keepLines/>
      <w:spacing w:before="40"/>
      <w:outlineLvl w:val="5"/>
    </w:pPr>
    <w:rPr>
      <w:rFonts w:asciiTheme="minorHAnsi" w:eastAsiaTheme="minorEastAsia" w:hAnsiTheme="minorHAnsi" w:cstheme="majorBidi"/>
      <w:b/>
      <w:bCs/>
      <w:color w:val="2F5496" w:themeColor="accent1" w:themeShade="BF"/>
    </w:rPr>
  </w:style>
  <w:style w:type="paragraph" w:styleId="Heading7">
    <w:name w:val="heading 7"/>
    <w:basedOn w:val="Normal"/>
    <w:next w:val="Normal"/>
    <w:link w:val="Heading7Char"/>
    <w:uiPriority w:val="9"/>
    <w:semiHidden/>
    <w:unhideWhenUsed/>
    <w:qFormat/>
    <w:rsid w:val="0035347B"/>
    <w:pPr>
      <w:keepNext/>
      <w:keepLines/>
      <w:spacing w:before="40"/>
      <w:outlineLvl w:val="6"/>
    </w:pPr>
    <w:rPr>
      <w:rFonts w:asciiTheme="minorHAnsi" w:eastAsiaTheme="minorEastAsia" w:hAnsiTheme="minorHAnsi" w:cstheme="majorBidi"/>
      <w:b/>
      <w:bCs/>
      <w:color w:val="595959" w:themeColor="text1" w:themeTint="A6"/>
    </w:rPr>
  </w:style>
  <w:style w:type="paragraph" w:styleId="Heading8">
    <w:name w:val="heading 8"/>
    <w:basedOn w:val="Normal"/>
    <w:next w:val="Normal"/>
    <w:link w:val="Heading8Char"/>
    <w:uiPriority w:val="9"/>
    <w:semiHidden/>
    <w:unhideWhenUsed/>
    <w:qFormat/>
    <w:rsid w:val="0035347B"/>
    <w:pPr>
      <w:keepNext/>
      <w:keepLines/>
      <w:outlineLvl w:val="7"/>
    </w:pPr>
    <w:rPr>
      <w:rFonts w:asciiTheme="minorHAnsi" w:eastAsiaTheme="minorEastAsia" w:hAnsiTheme="minorHAnsi" w:cstheme="majorBidi"/>
      <w:color w:val="595959" w:themeColor="text1" w:themeTint="A6"/>
    </w:rPr>
  </w:style>
  <w:style w:type="paragraph" w:styleId="Heading9">
    <w:name w:val="heading 9"/>
    <w:basedOn w:val="Normal"/>
    <w:next w:val="Normal"/>
    <w:link w:val="Heading9Char"/>
    <w:uiPriority w:val="9"/>
    <w:semiHidden/>
    <w:unhideWhenUsed/>
    <w:qFormat/>
    <w:rsid w:val="0035347B"/>
    <w:pPr>
      <w:keepNext/>
      <w:keepLines/>
      <w:outlineLvl w:val="8"/>
    </w:pPr>
    <w:rPr>
      <w:rFonts w:asciiTheme="minorHAnsi" w:eastAsiaTheme="majorEastAsia" w:hAnsiTheme="min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三线表"/>
    <w:basedOn w:val="TableNormal"/>
    <w:uiPriority w:val="99"/>
    <w:rsid w:val="009F5BD6"/>
    <w:tblPr>
      <w:tblBorders>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tcPr>
    </w:tblStylePr>
  </w:style>
  <w:style w:type="character" w:customStyle="1" w:styleId="Heading1Char">
    <w:name w:val="Heading 1 Char"/>
    <w:basedOn w:val="DefaultParagraphFont"/>
    <w:link w:val="Heading1"/>
    <w:uiPriority w:val="9"/>
    <w:rsid w:val="0035347B"/>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35347B"/>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35347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5347B"/>
    <w:rPr>
      <w:rFonts w:asciiTheme="minorHAnsi" w:eastAsiaTheme="minorEastAsia" w:hAnsiTheme="minorHAnsi"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35347B"/>
    <w:rPr>
      <w:rFonts w:asciiTheme="minorHAnsi" w:eastAsiaTheme="minorEastAsia" w:hAnsiTheme="min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35347B"/>
    <w:rPr>
      <w:rFonts w:asciiTheme="minorHAnsi" w:eastAsiaTheme="minorEastAsia" w:hAnsiTheme="minorHAnsi" w:cstheme="majorBidi"/>
      <w:b/>
      <w:bCs/>
      <w:color w:val="2F5496" w:themeColor="accent1" w:themeShade="BF"/>
    </w:rPr>
  </w:style>
  <w:style w:type="character" w:customStyle="1" w:styleId="Heading7Char">
    <w:name w:val="Heading 7 Char"/>
    <w:basedOn w:val="DefaultParagraphFont"/>
    <w:link w:val="Heading7"/>
    <w:uiPriority w:val="9"/>
    <w:semiHidden/>
    <w:rsid w:val="0035347B"/>
    <w:rPr>
      <w:rFonts w:asciiTheme="minorHAnsi" w:eastAsiaTheme="minorEastAsia" w:hAnsiTheme="minorHAnsi" w:cstheme="majorBidi"/>
      <w:b/>
      <w:bCs/>
      <w:color w:val="595959" w:themeColor="text1" w:themeTint="A6"/>
    </w:rPr>
  </w:style>
  <w:style w:type="character" w:customStyle="1" w:styleId="Heading8Char">
    <w:name w:val="Heading 8 Char"/>
    <w:basedOn w:val="DefaultParagraphFont"/>
    <w:link w:val="Heading8"/>
    <w:uiPriority w:val="9"/>
    <w:semiHidden/>
    <w:rsid w:val="0035347B"/>
    <w:rPr>
      <w:rFonts w:asciiTheme="minorHAnsi" w:eastAsiaTheme="minorEastAsia" w:hAnsiTheme="minorHAnsi" w:cstheme="majorBidi"/>
      <w:color w:val="595959" w:themeColor="text1" w:themeTint="A6"/>
    </w:rPr>
  </w:style>
  <w:style w:type="character" w:customStyle="1" w:styleId="Heading9Char">
    <w:name w:val="Heading 9 Char"/>
    <w:basedOn w:val="DefaultParagraphFont"/>
    <w:link w:val="Heading9"/>
    <w:uiPriority w:val="9"/>
    <w:semiHidden/>
    <w:rsid w:val="0035347B"/>
    <w:rPr>
      <w:rFonts w:asciiTheme="minorHAnsi" w:eastAsiaTheme="majorEastAsia" w:hAnsiTheme="minorHAnsi" w:cstheme="majorBidi"/>
      <w:color w:val="595959" w:themeColor="text1" w:themeTint="A6"/>
    </w:rPr>
  </w:style>
  <w:style w:type="paragraph" w:styleId="Title">
    <w:name w:val="Title"/>
    <w:basedOn w:val="Normal"/>
    <w:next w:val="Normal"/>
    <w:link w:val="TitleChar"/>
    <w:uiPriority w:val="10"/>
    <w:qFormat/>
    <w:rsid w:val="0035347B"/>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47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47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3534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347B"/>
    <w:rPr>
      <w:i/>
      <w:iCs/>
      <w:color w:val="404040" w:themeColor="text1" w:themeTint="BF"/>
    </w:rPr>
  </w:style>
  <w:style w:type="paragraph" w:styleId="ListParagraph">
    <w:name w:val="List Paragraph"/>
    <w:basedOn w:val="Normal"/>
    <w:uiPriority w:val="34"/>
    <w:qFormat/>
    <w:rsid w:val="0035347B"/>
    <w:pPr>
      <w:ind w:left="720"/>
      <w:contextualSpacing/>
    </w:pPr>
  </w:style>
  <w:style w:type="character" w:styleId="IntenseEmphasis">
    <w:name w:val="Intense Emphasis"/>
    <w:basedOn w:val="DefaultParagraphFont"/>
    <w:uiPriority w:val="21"/>
    <w:qFormat/>
    <w:rsid w:val="0035347B"/>
    <w:rPr>
      <w:i/>
      <w:iCs/>
      <w:color w:val="2F5496" w:themeColor="accent1" w:themeShade="BF"/>
    </w:rPr>
  </w:style>
  <w:style w:type="paragraph" w:styleId="IntenseQuote">
    <w:name w:val="Intense Quote"/>
    <w:basedOn w:val="Normal"/>
    <w:next w:val="Normal"/>
    <w:link w:val="IntenseQuoteChar"/>
    <w:uiPriority w:val="30"/>
    <w:qFormat/>
    <w:rsid w:val="003534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347B"/>
    <w:rPr>
      <w:i/>
      <w:iCs/>
      <w:color w:val="2F5496" w:themeColor="accent1" w:themeShade="BF"/>
    </w:rPr>
  </w:style>
  <w:style w:type="character" w:styleId="IntenseReference">
    <w:name w:val="Intense Reference"/>
    <w:basedOn w:val="DefaultParagraphFont"/>
    <w:uiPriority w:val="32"/>
    <w:qFormat/>
    <w:rsid w:val="0035347B"/>
    <w:rPr>
      <w:b/>
      <w:bCs/>
      <w:smallCaps/>
      <w:color w:val="2F5496" w:themeColor="accent1" w:themeShade="BF"/>
      <w:spacing w:val="5"/>
    </w:rPr>
  </w:style>
  <w:style w:type="table" w:styleId="TableGrid">
    <w:name w:val="Table Grid"/>
    <w:basedOn w:val="TableNormal"/>
    <w:uiPriority w:val="39"/>
    <w:rsid w:val="009F5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A65867"/>
    <w:rPr>
      <w:rFonts w:asciiTheme="majorHAnsi" w:eastAsia="SimHei" w:hAnsiTheme="majorHAnsi" w:cstheme="majorBidi"/>
      <w:sz w:val="20"/>
      <w:szCs w:val="20"/>
    </w:rPr>
  </w:style>
  <w:style w:type="paragraph" w:styleId="Header">
    <w:name w:val="header"/>
    <w:basedOn w:val="Normal"/>
    <w:link w:val="HeaderChar"/>
    <w:uiPriority w:val="99"/>
    <w:unhideWhenUsed/>
    <w:rsid w:val="00B0533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05333"/>
    <w:rPr>
      <w:sz w:val="18"/>
      <w:szCs w:val="18"/>
    </w:rPr>
  </w:style>
  <w:style w:type="paragraph" w:styleId="Footer">
    <w:name w:val="footer"/>
    <w:basedOn w:val="Normal"/>
    <w:link w:val="FooterChar"/>
    <w:uiPriority w:val="99"/>
    <w:unhideWhenUsed/>
    <w:rsid w:val="00B0533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05333"/>
    <w:rPr>
      <w:sz w:val="18"/>
      <w:szCs w:val="18"/>
    </w:rPr>
  </w:style>
  <w:style w:type="paragraph" w:styleId="NormalWeb">
    <w:name w:val="Normal (Web)"/>
    <w:basedOn w:val="Normal"/>
    <w:uiPriority w:val="99"/>
    <w:semiHidden/>
    <w:unhideWhenUsed/>
    <w:rsid w:val="007030A4"/>
    <w:rPr>
      <w:rFonts w:cs="Times New Roman"/>
      <w:sz w:val="24"/>
      <w:szCs w:val="24"/>
    </w:rPr>
  </w:style>
  <w:style w:type="paragraph" w:styleId="Bibliography">
    <w:name w:val="Bibliography"/>
    <w:basedOn w:val="Normal"/>
    <w:next w:val="Normal"/>
    <w:uiPriority w:val="37"/>
    <w:unhideWhenUsed/>
    <w:rsid w:val="00294E3F"/>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9201E-6288-4EE5-AB3D-49805638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6445</TotalTime>
  <Pages>10</Pages>
  <Words>5038</Words>
  <Characters>28721</Characters>
  <Application>Microsoft Office Word</Application>
  <DocSecurity>0</DocSecurity>
  <Lines>239</Lines>
  <Paragraphs>67</Paragraphs>
  <ScaleCrop>false</ScaleCrop>
  <Company/>
  <LinksUpToDate>false</LinksUpToDate>
  <CharactersWithSpaces>33692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骏杰 何</dc:creator>
  <cp:keywords/>
  <dc:description/>
  <cp:lastModifiedBy>Aleksandr Zavolokin</cp:lastModifiedBy>
  <cp:revision>26</cp:revision>
  <dcterms:created xsi:type="dcterms:W3CDTF">2026-06-18T10:10:00Z</dcterms:created>
  <dcterms:modified xsi:type="dcterms:W3CDTF">2026-07-16T03:41:00Z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id="aBVpU5gX"/&gt;&lt;style id="http://www.zotero.org/styles/elsevier-harvard" hasBibliography="1" bibliographyStyleHasBeenSet="1"/&gt;&lt;prefs&gt;&lt;pref name="fieldType" value="Field"/&gt;&lt;/prefs&gt;&lt;/data&gt;</vt:lpwstr>
  </property>
</Properties>
</file>