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9104" w14:textId="5AD997B3" w:rsidR="00F2604D" w:rsidRDefault="00F2604D" w:rsidP="00F2604D">
      <w:pPr>
        <w:jc w:val="right"/>
        <w:rPr>
          <w:rFonts w:ascii="Times New Roman" w:hAnsi="Times New Roman" w:cs="Times New Roman"/>
          <w:sz w:val="28"/>
          <w:szCs w:val="28"/>
        </w:rPr>
      </w:pPr>
      <w:r w:rsidRPr="00F2604D">
        <w:rPr>
          <w:rFonts w:ascii="Times New Roman" w:hAnsi="Times New Roman" w:cs="Times New Roman"/>
          <w:sz w:val="28"/>
          <w:szCs w:val="28"/>
        </w:rPr>
        <w:t>NPFC-2026-SSC JS01-WP04</w:t>
      </w:r>
    </w:p>
    <w:p w14:paraId="7DA32AA1" w14:textId="77777777" w:rsidR="00F2604D" w:rsidRPr="00F2604D" w:rsidRDefault="00F2604D" w:rsidP="00F2604D">
      <w:pPr>
        <w:jc w:val="right"/>
        <w:rPr>
          <w:rFonts w:ascii="Times New Roman" w:hAnsi="Times New Roman" w:cs="Times New Roman"/>
          <w:sz w:val="28"/>
          <w:szCs w:val="28"/>
        </w:rPr>
      </w:pPr>
    </w:p>
    <w:p w14:paraId="7F1102BB" w14:textId="2DD07288" w:rsidR="0080662F" w:rsidRPr="00BB3D6B" w:rsidRDefault="0080662F" w:rsidP="0080662F">
      <w:pPr>
        <w:jc w:val="center"/>
        <w:rPr>
          <w:rFonts w:ascii="Times New Roman" w:hAnsi="Times New Roman" w:cs="Times New Roman"/>
          <w:b/>
          <w:bCs/>
          <w:sz w:val="28"/>
          <w:szCs w:val="28"/>
        </w:rPr>
      </w:pPr>
      <w:r w:rsidRPr="00BB3D6B">
        <w:rPr>
          <w:rFonts w:ascii="Times New Roman" w:hAnsi="Times New Roman" w:cs="Times New Roman"/>
          <w:b/>
          <w:bCs/>
          <w:sz w:val="28"/>
          <w:szCs w:val="28"/>
        </w:rPr>
        <w:t xml:space="preserve">Distribution and migration, growth, and biological parameters for Japanese sardine </w:t>
      </w:r>
      <w:r w:rsidRPr="00BB3D6B">
        <w:rPr>
          <w:rFonts w:ascii="Times New Roman" w:hAnsi="Times New Roman" w:cs="Times New Roman"/>
          <w:b/>
          <w:bCs/>
          <w:i/>
          <w:iCs/>
          <w:sz w:val="28"/>
          <w:szCs w:val="28"/>
        </w:rPr>
        <w:t>Sardinops melanostictus</w:t>
      </w:r>
      <w:r w:rsidRPr="00BB3D6B">
        <w:rPr>
          <w:rFonts w:ascii="Times New Roman" w:hAnsi="Times New Roman" w:cs="Times New Roman"/>
          <w:b/>
          <w:bCs/>
          <w:sz w:val="28"/>
          <w:szCs w:val="28"/>
        </w:rPr>
        <w:t xml:space="preserve"> from Japan</w:t>
      </w:r>
    </w:p>
    <w:p w14:paraId="4AA2CC20" w14:textId="77777777" w:rsidR="0080662F" w:rsidRPr="00BB3D6B" w:rsidRDefault="0080662F" w:rsidP="0080662F">
      <w:pPr>
        <w:rPr>
          <w:rFonts w:ascii="Times New Roman" w:hAnsi="Times New Roman" w:cs="Times New Roman"/>
          <w:sz w:val="24"/>
          <w:szCs w:val="24"/>
        </w:rPr>
      </w:pPr>
    </w:p>
    <w:p w14:paraId="627DBBC5" w14:textId="77777777" w:rsidR="0080662F" w:rsidRPr="00BB3D6B" w:rsidRDefault="0080662F" w:rsidP="0080662F">
      <w:pPr>
        <w:jc w:val="center"/>
        <w:rPr>
          <w:rFonts w:ascii="Times New Roman" w:hAnsi="Times New Roman" w:cs="Times New Roman"/>
          <w:sz w:val="24"/>
          <w:szCs w:val="24"/>
        </w:rPr>
      </w:pPr>
      <w:r w:rsidRPr="00BB3D6B">
        <w:rPr>
          <w:rFonts w:ascii="Times New Roman" w:hAnsi="Times New Roman" w:cs="Times New Roman"/>
          <w:sz w:val="24"/>
          <w:szCs w:val="24"/>
        </w:rPr>
        <w:t>Akihiro MANABE, Sho FURUICHI, Yasuhiro KAMIMURA, Ryuji YUKAMI</w:t>
      </w:r>
    </w:p>
    <w:p w14:paraId="0C994DBC" w14:textId="77777777" w:rsidR="0080662F" w:rsidRPr="00BB3D6B" w:rsidRDefault="0080662F" w:rsidP="0080662F">
      <w:pPr>
        <w:rPr>
          <w:rFonts w:ascii="Times New Roman" w:hAnsi="Times New Roman" w:cs="Times New Roman"/>
          <w:sz w:val="24"/>
          <w:szCs w:val="24"/>
        </w:rPr>
      </w:pPr>
    </w:p>
    <w:p w14:paraId="7047DE9D" w14:textId="77777777" w:rsidR="0080662F" w:rsidRPr="00BB3D6B" w:rsidRDefault="0080662F" w:rsidP="0080662F">
      <w:pPr>
        <w:jc w:val="center"/>
        <w:rPr>
          <w:rFonts w:ascii="Times New Roman" w:hAnsi="Times New Roman" w:cs="Times New Roman"/>
          <w:sz w:val="24"/>
          <w:szCs w:val="24"/>
        </w:rPr>
      </w:pPr>
      <w:r w:rsidRPr="00BB3D6B">
        <w:rPr>
          <w:rFonts w:ascii="Times New Roman" w:hAnsi="Times New Roman" w:cs="Times New Roman"/>
          <w:sz w:val="24"/>
          <w:szCs w:val="24"/>
        </w:rPr>
        <w:t>Japan Fisheries Research and Education Agency, Japan</w:t>
      </w:r>
    </w:p>
    <w:p w14:paraId="0D5E8C98" w14:textId="77777777" w:rsidR="0080662F" w:rsidRPr="00BB3D6B" w:rsidRDefault="0080662F" w:rsidP="008976C3">
      <w:pPr>
        <w:jc w:val="center"/>
        <w:rPr>
          <w:rFonts w:ascii="Times New Roman" w:hAnsi="Times New Roman" w:cs="Times New Roman"/>
          <w:b/>
          <w:bCs/>
          <w:sz w:val="24"/>
          <w:szCs w:val="24"/>
        </w:rPr>
      </w:pPr>
    </w:p>
    <w:p w14:paraId="028C8898" w14:textId="49F9C099" w:rsidR="008976C3" w:rsidRPr="00BB3D6B" w:rsidRDefault="008976C3" w:rsidP="008976C3">
      <w:pPr>
        <w:jc w:val="center"/>
        <w:rPr>
          <w:rFonts w:ascii="Times New Roman" w:hAnsi="Times New Roman" w:cs="Times New Roman"/>
          <w:b/>
          <w:bCs/>
          <w:sz w:val="24"/>
          <w:szCs w:val="24"/>
        </w:rPr>
      </w:pPr>
      <w:r w:rsidRPr="00BB3D6B">
        <w:rPr>
          <w:rFonts w:ascii="Times New Roman" w:hAnsi="Times New Roman" w:cs="Times New Roman"/>
          <w:b/>
          <w:bCs/>
          <w:sz w:val="24"/>
          <w:szCs w:val="24"/>
        </w:rPr>
        <w:t>Summary</w:t>
      </w:r>
    </w:p>
    <w:p w14:paraId="526FC662" w14:textId="4391F415" w:rsidR="008976C3" w:rsidRPr="00BB3D6B" w:rsidRDefault="008976C3" w:rsidP="006119DB">
      <w:pPr>
        <w:ind w:firstLine="210"/>
        <w:rPr>
          <w:rFonts w:ascii="Times New Roman" w:hAnsi="Times New Roman" w:cs="Times New Roman"/>
          <w:sz w:val="24"/>
          <w:szCs w:val="24"/>
        </w:rPr>
      </w:pPr>
      <w:r w:rsidRPr="00BB3D6B">
        <w:rPr>
          <w:rFonts w:ascii="Times New Roman" w:hAnsi="Times New Roman" w:cs="Times New Roman"/>
          <w:sz w:val="24"/>
          <w:szCs w:val="24"/>
        </w:rPr>
        <w:t>The stock of Japanese sardine (</w:t>
      </w:r>
      <w:r w:rsidRPr="00BB3D6B">
        <w:rPr>
          <w:rFonts w:ascii="Times New Roman" w:hAnsi="Times New Roman" w:cs="Times New Roman"/>
          <w:i/>
          <w:iCs/>
          <w:sz w:val="24"/>
          <w:szCs w:val="24"/>
        </w:rPr>
        <w:t>Sardinops melanostictus</w:t>
      </w:r>
      <w:r w:rsidRPr="00BB3D6B">
        <w:rPr>
          <w:rFonts w:ascii="Times New Roman" w:hAnsi="Times New Roman" w:cs="Times New Roman"/>
          <w:sz w:val="24"/>
          <w:szCs w:val="24"/>
        </w:rPr>
        <w:t xml:space="preserve">) in the northwestern Pacific Ocean has increased substantially since the 2010s, accompanied by changes in its biological characteristics. This document summarizes recent knowledge on the distribution, growth, natural mortality, and maturation of Japanese sardine based on Japanese </w:t>
      </w:r>
      <w:r w:rsidR="006119DB" w:rsidRPr="00BB3D6B">
        <w:rPr>
          <w:rFonts w:ascii="Times New Roman" w:hAnsi="Times New Roman" w:cs="Times New Roman"/>
          <w:sz w:val="24"/>
          <w:szCs w:val="24"/>
        </w:rPr>
        <w:t>domestic</w:t>
      </w:r>
      <w:r w:rsidRPr="00BB3D6B">
        <w:rPr>
          <w:rFonts w:ascii="Times New Roman" w:hAnsi="Times New Roman" w:cs="Times New Roman"/>
          <w:sz w:val="24"/>
          <w:szCs w:val="24"/>
        </w:rPr>
        <w:t xml:space="preserve"> stock assessments and recent scientific studies.</w:t>
      </w:r>
    </w:p>
    <w:p w14:paraId="251A8E39" w14:textId="5BBEAB6E" w:rsidR="008976C3" w:rsidRPr="00BB3D6B" w:rsidRDefault="008976C3" w:rsidP="006119DB">
      <w:pPr>
        <w:ind w:firstLine="210"/>
        <w:rPr>
          <w:rFonts w:ascii="Times New Roman" w:hAnsi="Times New Roman" w:cs="Times New Roman"/>
          <w:sz w:val="24"/>
          <w:szCs w:val="24"/>
        </w:rPr>
      </w:pPr>
      <w:r w:rsidRPr="00BB3D6B">
        <w:rPr>
          <w:rFonts w:ascii="Times New Roman" w:hAnsi="Times New Roman" w:cs="Times New Roman"/>
          <w:sz w:val="24"/>
          <w:szCs w:val="24"/>
        </w:rPr>
        <w:t>Recent year</w:t>
      </w:r>
      <w:r w:rsidR="006119DB" w:rsidRPr="00BB3D6B">
        <w:rPr>
          <w:rFonts w:ascii="Times New Roman" w:hAnsi="Times New Roman" w:cs="Times New Roman"/>
          <w:sz w:val="24"/>
          <w:szCs w:val="24"/>
        </w:rPr>
        <w:t>-</w:t>
      </w:r>
      <w:r w:rsidRPr="00BB3D6B">
        <w:rPr>
          <w:rFonts w:ascii="Times New Roman" w:hAnsi="Times New Roman" w:cs="Times New Roman"/>
          <w:sz w:val="24"/>
          <w:szCs w:val="24"/>
        </w:rPr>
        <w:t xml:space="preserve">classes have exhibited </w:t>
      </w:r>
      <w:r w:rsidR="006119DB" w:rsidRPr="00BB3D6B">
        <w:rPr>
          <w:rFonts w:ascii="Times New Roman" w:hAnsi="Times New Roman" w:cs="Times New Roman"/>
          <w:sz w:val="24"/>
          <w:szCs w:val="24"/>
        </w:rPr>
        <w:t>considerable</w:t>
      </w:r>
      <w:r w:rsidRPr="00BB3D6B">
        <w:rPr>
          <w:rFonts w:ascii="Times New Roman" w:hAnsi="Times New Roman" w:cs="Times New Roman"/>
          <w:sz w:val="24"/>
          <w:szCs w:val="24"/>
        </w:rPr>
        <w:t xml:space="preserve"> growth reductions, which have been suggested to result from density-dependent </w:t>
      </w:r>
      <w:r w:rsidR="0071701B" w:rsidRPr="00BB3D6B">
        <w:rPr>
          <w:rFonts w:ascii="Times New Roman" w:hAnsi="Times New Roman" w:cs="Times New Roman"/>
          <w:sz w:val="24"/>
          <w:szCs w:val="24"/>
        </w:rPr>
        <w:t>effect</w:t>
      </w:r>
      <w:r w:rsidRPr="00BB3D6B">
        <w:rPr>
          <w:rFonts w:ascii="Times New Roman" w:hAnsi="Times New Roman" w:cs="Times New Roman"/>
          <w:sz w:val="24"/>
          <w:szCs w:val="24"/>
        </w:rPr>
        <w:t xml:space="preserve"> and changes in feeding conditions. Mean length and body weight</w:t>
      </w:r>
      <w:r w:rsidR="00BB3D6B">
        <w:rPr>
          <w:rFonts w:ascii="Times New Roman" w:hAnsi="Times New Roman" w:cs="Times New Roman"/>
          <w:sz w:val="24"/>
          <w:szCs w:val="24"/>
        </w:rPr>
        <w:t>-at-age</w:t>
      </w:r>
      <w:r w:rsidRPr="00BB3D6B">
        <w:rPr>
          <w:rFonts w:ascii="Times New Roman" w:hAnsi="Times New Roman" w:cs="Times New Roman"/>
          <w:sz w:val="24"/>
          <w:szCs w:val="24"/>
        </w:rPr>
        <w:t xml:space="preserve"> have shown declining trends, and maturation characteristics are also known to vary with stock abundance. These findings indicate that the biological characteristics of Japanese sardine are dynamic and respond to changes in stock size and environmental conditions</w:t>
      </w:r>
      <w:r w:rsidR="0071701B" w:rsidRPr="00BB3D6B">
        <w:rPr>
          <w:rFonts w:ascii="Times New Roman" w:hAnsi="Times New Roman" w:cs="Times New Roman"/>
          <w:sz w:val="24"/>
          <w:szCs w:val="24"/>
        </w:rPr>
        <w:t>. Such characteristics play important factors for future stock assessments and fisheries management.</w:t>
      </w:r>
    </w:p>
    <w:p w14:paraId="04A3FEAF" w14:textId="77777777" w:rsidR="0080662F" w:rsidRPr="00BB3D6B" w:rsidRDefault="0080662F">
      <w:pPr>
        <w:widowControl/>
        <w:jc w:val="left"/>
        <w:rPr>
          <w:rFonts w:ascii="Times New Roman" w:hAnsi="Times New Roman" w:cs="Times New Roman"/>
          <w:sz w:val="24"/>
          <w:szCs w:val="24"/>
        </w:rPr>
      </w:pPr>
    </w:p>
    <w:p w14:paraId="2AB7DA76" w14:textId="77777777" w:rsidR="0071701B" w:rsidRPr="00BB3D6B" w:rsidRDefault="0071701B" w:rsidP="00BB3D6B">
      <w:pPr>
        <w:widowControl/>
        <w:jc w:val="left"/>
        <w:rPr>
          <w:rFonts w:ascii="Times New Roman" w:hAnsi="Times New Roman" w:cs="Times New Roman"/>
          <w:b/>
          <w:bCs/>
          <w:sz w:val="24"/>
          <w:szCs w:val="24"/>
        </w:rPr>
      </w:pPr>
      <w:r w:rsidRPr="00BB3D6B">
        <w:rPr>
          <w:rFonts w:ascii="Times New Roman" w:hAnsi="Times New Roman" w:cs="Times New Roman"/>
          <w:b/>
          <w:bCs/>
          <w:sz w:val="24"/>
          <w:szCs w:val="24"/>
        </w:rPr>
        <w:t>Introduction</w:t>
      </w:r>
    </w:p>
    <w:p w14:paraId="6A449F0F" w14:textId="03A94A66" w:rsidR="0071701B" w:rsidRPr="00BB3D6B" w:rsidRDefault="0071701B" w:rsidP="00BB3D6B">
      <w:pPr>
        <w:ind w:firstLine="840"/>
        <w:rPr>
          <w:rFonts w:ascii="Times New Roman" w:hAnsi="Times New Roman" w:cs="Times New Roman"/>
          <w:sz w:val="24"/>
          <w:szCs w:val="24"/>
        </w:rPr>
      </w:pPr>
      <w:r w:rsidRPr="00BB3D6B">
        <w:rPr>
          <w:rFonts w:ascii="Times New Roman" w:hAnsi="Times New Roman" w:cs="Times New Roman"/>
          <w:sz w:val="24"/>
          <w:szCs w:val="24"/>
        </w:rPr>
        <w:t>The Japanese sardine (</w:t>
      </w:r>
      <w:r w:rsidRPr="00BB3D6B">
        <w:rPr>
          <w:rFonts w:ascii="Times New Roman" w:hAnsi="Times New Roman" w:cs="Times New Roman"/>
          <w:i/>
          <w:iCs/>
          <w:sz w:val="24"/>
          <w:szCs w:val="24"/>
        </w:rPr>
        <w:t>Sardinops melanostictus</w:t>
      </w:r>
      <w:r w:rsidRPr="00BB3D6B">
        <w:rPr>
          <w:rFonts w:ascii="Times New Roman" w:hAnsi="Times New Roman" w:cs="Times New Roman"/>
          <w:sz w:val="24"/>
          <w:szCs w:val="24"/>
        </w:rPr>
        <w:t xml:space="preserve">) in the northwestern Pacific has experienced a rapid increase in stock abundance since the 2010s </w:t>
      </w:r>
      <w:proofErr w:type="gramStart"/>
      <w:r w:rsidRPr="00BB3D6B">
        <w:rPr>
          <w:rFonts w:ascii="Times New Roman" w:hAnsi="Times New Roman" w:cs="Times New Roman"/>
          <w:sz w:val="24"/>
          <w:szCs w:val="24"/>
        </w:rPr>
        <w:t>as a result of</w:t>
      </w:r>
      <w:proofErr w:type="gramEnd"/>
      <w:r w:rsidRPr="00BB3D6B">
        <w:rPr>
          <w:rFonts w:ascii="Times New Roman" w:hAnsi="Times New Roman" w:cs="Times New Roman"/>
          <w:sz w:val="24"/>
          <w:szCs w:val="24"/>
        </w:rPr>
        <w:t xml:space="preserve"> strong recruitment. Concurrently various biological characteristics, including growth, maturation, distribution, and migration patterns have been observed (Yukami et al., 2017; Furuichi et al., 2026). </w:t>
      </w:r>
      <w:r w:rsidR="00E45272" w:rsidRPr="00BB3D6B">
        <w:rPr>
          <w:rFonts w:ascii="Times New Roman" w:hAnsi="Times New Roman" w:cs="Times New Roman"/>
          <w:sz w:val="24"/>
          <w:szCs w:val="24"/>
        </w:rPr>
        <w:t xml:space="preserve">Recently, </w:t>
      </w:r>
      <w:r w:rsidRPr="00BB3D6B">
        <w:rPr>
          <w:rFonts w:ascii="Times New Roman" w:hAnsi="Times New Roman" w:cs="Times New Roman"/>
          <w:sz w:val="24"/>
          <w:szCs w:val="24"/>
        </w:rPr>
        <w:t xml:space="preserve">density-dependent </w:t>
      </w:r>
      <w:r w:rsidR="00E45272" w:rsidRPr="00BB3D6B">
        <w:rPr>
          <w:rFonts w:ascii="Times New Roman" w:hAnsi="Times New Roman" w:cs="Times New Roman"/>
          <w:sz w:val="24"/>
          <w:szCs w:val="24"/>
        </w:rPr>
        <w:t xml:space="preserve">effect has been observed to decline </w:t>
      </w:r>
      <w:r w:rsidRPr="00BB3D6B">
        <w:rPr>
          <w:rFonts w:ascii="Times New Roman" w:hAnsi="Times New Roman" w:cs="Times New Roman"/>
          <w:sz w:val="24"/>
          <w:szCs w:val="24"/>
        </w:rPr>
        <w:t>growth, and the growth of the 2017–</w:t>
      </w:r>
      <w:proofErr w:type="gramStart"/>
      <w:r w:rsidRPr="00BB3D6B">
        <w:rPr>
          <w:rFonts w:ascii="Times New Roman" w:hAnsi="Times New Roman" w:cs="Times New Roman"/>
          <w:sz w:val="24"/>
          <w:szCs w:val="24"/>
        </w:rPr>
        <w:t>2018 year</w:t>
      </w:r>
      <w:proofErr w:type="gramEnd"/>
      <w:r w:rsidRPr="00BB3D6B">
        <w:rPr>
          <w:rFonts w:ascii="Times New Roman" w:hAnsi="Times New Roman" w:cs="Times New Roman"/>
          <w:sz w:val="24"/>
          <w:szCs w:val="24"/>
        </w:rPr>
        <w:t xml:space="preserve"> classes has been reported to be as </w:t>
      </w:r>
      <w:r w:rsidR="00E45272" w:rsidRPr="00BB3D6B">
        <w:rPr>
          <w:rFonts w:ascii="Times New Roman" w:hAnsi="Times New Roman" w:cs="Times New Roman"/>
          <w:sz w:val="24"/>
          <w:szCs w:val="24"/>
        </w:rPr>
        <w:t>s</w:t>
      </w:r>
      <w:r w:rsidRPr="00BB3D6B">
        <w:rPr>
          <w:rFonts w:ascii="Times New Roman" w:hAnsi="Times New Roman" w:cs="Times New Roman"/>
          <w:sz w:val="24"/>
          <w:szCs w:val="24"/>
        </w:rPr>
        <w:t xml:space="preserve">low as that observed during the high abundance </w:t>
      </w:r>
      <w:r w:rsidR="00E45272" w:rsidRPr="00BB3D6B">
        <w:rPr>
          <w:rFonts w:ascii="Times New Roman" w:hAnsi="Times New Roman" w:cs="Times New Roman"/>
          <w:sz w:val="24"/>
          <w:szCs w:val="24"/>
        </w:rPr>
        <w:t xml:space="preserve">period </w:t>
      </w:r>
      <w:r w:rsidRPr="00BB3D6B">
        <w:rPr>
          <w:rFonts w:ascii="Times New Roman" w:hAnsi="Times New Roman" w:cs="Times New Roman"/>
          <w:sz w:val="24"/>
          <w:szCs w:val="24"/>
        </w:rPr>
        <w:t xml:space="preserve">in the early 1980s (Kamimura et al., 2022). Furthermore, declines in zooplankton abundance </w:t>
      </w:r>
      <w:r w:rsidR="00E45272" w:rsidRPr="00BB3D6B">
        <w:rPr>
          <w:rFonts w:ascii="Times New Roman" w:hAnsi="Times New Roman" w:cs="Times New Roman"/>
          <w:sz w:val="24"/>
          <w:szCs w:val="24"/>
        </w:rPr>
        <w:t xml:space="preserve">in </w:t>
      </w:r>
      <w:r w:rsidRPr="00BB3D6B">
        <w:rPr>
          <w:rFonts w:ascii="Times New Roman" w:hAnsi="Times New Roman" w:cs="Times New Roman"/>
          <w:sz w:val="24"/>
          <w:szCs w:val="24"/>
        </w:rPr>
        <w:t xml:space="preserve">summer feeding grounds have been suggested to have intensified density-dependent effects on growth in recent years compared with </w:t>
      </w:r>
      <w:r w:rsidR="00E45272" w:rsidRPr="00BB3D6B">
        <w:rPr>
          <w:rFonts w:ascii="Times New Roman" w:hAnsi="Times New Roman" w:cs="Times New Roman"/>
          <w:sz w:val="24"/>
          <w:szCs w:val="24"/>
        </w:rPr>
        <w:t xml:space="preserve">the </w:t>
      </w:r>
      <w:r w:rsidRPr="00BB3D6B">
        <w:rPr>
          <w:rFonts w:ascii="Times New Roman" w:hAnsi="Times New Roman" w:cs="Times New Roman"/>
          <w:sz w:val="24"/>
          <w:szCs w:val="24"/>
        </w:rPr>
        <w:t xml:space="preserve">past </w:t>
      </w:r>
      <w:r w:rsidR="00E45272" w:rsidRPr="00BB3D6B">
        <w:rPr>
          <w:rFonts w:ascii="Times New Roman" w:hAnsi="Times New Roman" w:cs="Times New Roman"/>
          <w:sz w:val="24"/>
          <w:szCs w:val="24"/>
        </w:rPr>
        <w:t xml:space="preserve">high abundance </w:t>
      </w:r>
      <w:r w:rsidRPr="00BB3D6B">
        <w:rPr>
          <w:rFonts w:ascii="Times New Roman" w:hAnsi="Times New Roman" w:cs="Times New Roman"/>
          <w:sz w:val="24"/>
          <w:szCs w:val="24"/>
        </w:rPr>
        <w:t>period.</w:t>
      </w:r>
    </w:p>
    <w:p w14:paraId="6596E188" w14:textId="017CCB65" w:rsidR="0071701B" w:rsidRPr="00BB3D6B" w:rsidRDefault="0071701B" w:rsidP="00BB3D6B">
      <w:pPr>
        <w:ind w:firstLine="840"/>
        <w:rPr>
          <w:rFonts w:ascii="Times New Roman" w:hAnsi="Times New Roman" w:cs="Times New Roman"/>
          <w:sz w:val="24"/>
          <w:szCs w:val="24"/>
        </w:rPr>
      </w:pPr>
      <w:r w:rsidRPr="00BB3D6B">
        <w:rPr>
          <w:rFonts w:ascii="Times New Roman" w:hAnsi="Times New Roman" w:cs="Times New Roman"/>
          <w:sz w:val="24"/>
          <w:szCs w:val="24"/>
        </w:rPr>
        <w:t xml:space="preserve">At the same time, the geographic distribution of Japanese sardine has expanded with increasing stock abundance. In recent years, the species </w:t>
      </w:r>
      <w:r w:rsidR="009E49AE" w:rsidRPr="00BB3D6B">
        <w:rPr>
          <w:rFonts w:ascii="Times New Roman" w:hAnsi="Times New Roman" w:cs="Times New Roman"/>
          <w:sz w:val="24"/>
          <w:szCs w:val="24"/>
        </w:rPr>
        <w:t>has</w:t>
      </w:r>
      <w:r w:rsidRPr="00BB3D6B">
        <w:rPr>
          <w:rFonts w:ascii="Times New Roman" w:hAnsi="Times New Roman" w:cs="Times New Roman"/>
          <w:sz w:val="24"/>
          <w:szCs w:val="24"/>
        </w:rPr>
        <w:t xml:space="preserve"> been observed east of </w:t>
      </w:r>
      <w:r w:rsidRPr="00BB3D6B">
        <w:rPr>
          <w:rFonts w:ascii="Times New Roman" w:hAnsi="Times New Roman" w:cs="Times New Roman"/>
          <w:sz w:val="24"/>
          <w:szCs w:val="24"/>
        </w:rPr>
        <w:lastRenderedPageBreak/>
        <w:t>170</w:t>
      </w:r>
      <w:r w:rsidR="00E45272" w:rsidRPr="00BB3D6B">
        <w:rPr>
          <w:rFonts w:ascii="Times New Roman" w:hAnsi="Times New Roman" w:cs="Times New Roman"/>
          <w:sz w:val="24"/>
          <w:szCs w:val="24"/>
        </w:rPr>
        <w:t xml:space="preserve">E </w:t>
      </w:r>
      <w:r w:rsidRPr="00BB3D6B">
        <w:rPr>
          <w:rFonts w:ascii="Times New Roman" w:hAnsi="Times New Roman" w:cs="Times New Roman"/>
          <w:sz w:val="24"/>
          <w:szCs w:val="24"/>
        </w:rPr>
        <w:t xml:space="preserve">and beyond the International Date Line. This working paper </w:t>
      </w:r>
      <w:r w:rsidR="009E49AE" w:rsidRPr="00BB3D6B">
        <w:rPr>
          <w:rFonts w:ascii="Times New Roman" w:hAnsi="Times New Roman" w:cs="Times New Roman"/>
          <w:sz w:val="24"/>
          <w:szCs w:val="24"/>
        </w:rPr>
        <w:t>reviews recent information on</w:t>
      </w:r>
      <w:r w:rsidRPr="00BB3D6B">
        <w:rPr>
          <w:rFonts w:ascii="Times New Roman" w:hAnsi="Times New Roman" w:cs="Times New Roman"/>
          <w:sz w:val="24"/>
          <w:szCs w:val="24"/>
        </w:rPr>
        <w:t xml:space="preserve"> the distribution and migration patterns, growth, </w:t>
      </w:r>
      <w:r w:rsidR="009E49AE" w:rsidRPr="00BB3D6B">
        <w:rPr>
          <w:rFonts w:ascii="Times New Roman" w:hAnsi="Times New Roman" w:cs="Times New Roman"/>
          <w:sz w:val="24"/>
          <w:szCs w:val="24"/>
        </w:rPr>
        <w:t>weight-at-age</w:t>
      </w:r>
      <w:r w:rsidRPr="00BB3D6B">
        <w:rPr>
          <w:rFonts w:ascii="Times New Roman" w:hAnsi="Times New Roman" w:cs="Times New Roman"/>
          <w:sz w:val="24"/>
          <w:szCs w:val="24"/>
        </w:rPr>
        <w:t>, natural mortality, and maturation of Japanese sardine</w:t>
      </w:r>
      <w:r w:rsidR="009E49AE" w:rsidRPr="00BB3D6B">
        <w:rPr>
          <w:rFonts w:ascii="Times New Roman" w:hAnsi="Times New Roman" w:cs="Times New Roman"/>
          <w:sz w:val="24"/>
          <w:szCs w:val="24"/>
        </w:rPr>
        <w:t xml:space="preserve"> in the northwestern Pacific Ocean</w:t>
      </w:r>
      <w:r w:rsidRPr="00BB3D6B">
        <w:rPr>
          <w:rFonts w:ascii="Times New Roman" w:hAnsi="Times New Roman" w:cs="Times New Roman"/>
          <w:sz w:val="24"/>
          <w:szCs w:val="24"/>
        </w:rPr>
        <w:t xml:space="preserve">, based on Japanese </w:t>
      </w:r>
      <w:r w:rsidR="009E49AE" w:rsidRPr="00BB3D6B">
        <w:rPr>
          <w:rFonts w:ascii="Times New Roman" w:hAnsi="Times New Roman" w:cs="Times New Roman"/>
          <w:sz w:val="24"/>
          <w:szCs w:val="24"/>
        </w:rPr>
        <w:t xml:space="preserve">domestic </w:t>
      </w:r>
      <w:r w:rsidRPr="00BB3D6B">
        <w:rPr>
          <w:rFonts w:ascii="Times New Roman" w:hAnsi="Times New Roman" w:cs="Times New Roman"/>
          <w:sz w:val="24"/>
          <w:szCs w:val="24"/>
        </w:rPr>
        <w:t>stock assessment reports and recent studies.</w:t>
      </w:r>
    </w:p>
    <w:p w14:paraId="330F65BF" w14:textId="77777777" w:rsidR="0080662F" w:rsidRPr="00BB3D6B" w:rsidRDefault="0080662F" w:rsidP="0080662F">
      <w:pPr>
        <w:widowControl/>
        <w:jc w:val="left"/>
        <w:rPr>
          <w:rFonts w:ascii="Times New Roman" w:hAnsi="Times New Roman" w:cs="Times New Roman"/>
          <w:sz w:val="24"/>
          <w:szCs w:val="24"/>
        </w:rPr>
      </w:pPr>
    </w:p>
    <w:p w14:paraId="4CA0FD8C" w14:textId="6D06A5B1" w:rsidR="009E49AE" w:rsidRPr="00BB3D6B" w:rsidRDefault="0080662F" w:rsidP="00BB3D6B">
      <w:pPr>
        <w:widowControl/>
        <w:jc w:val="left"/>
        <w:rPr>
          <w:rFonts w:ascii="Times New Roman" w:hAnsi="Times New Roman" w:cs="Times New Roman"/>
          <w:sz w:val="24"/>
          <w:szCs w:val="24"/>
        </w:rPr>
      </w:pPr>
      <w:r w:rsidRPr="00BB3D6B">
        <w:rPr>
          <w:rFonts w:ascii="Times New Roman" w:hAnsi="Times New Roman" w:cs="Times New Roman"/>
          <w:b/>
          <w:bCs/>
          <w:sz w:val="24"/>
          <w:szCs w:val="24"/>
        </w:rPr>
        <w:t>D</w:t>
      </w:r>
      <w:r w:rsidR="009E49AE" w:rsidRPr="00BB3D6B">
        <w:rPr>
          <w:rFonts w:ascii="Times New Roman" w:hAnsi="Times New Roman" w:cs="Times New Roman"/>
          <w:b/>
          <w:bCs/>
          <w:sz w:val="24"/>
          <w:szCs w:val="24"/>
        </w:rPr>
        <w:t>istribution and Migration</w:t>
      </w:r>
    </w:p>
    <w:p w14:paraId="39D60B50" w14:textId="3D7A053A" w:rsidR="009E49AE" w:rsidRPr="00BB3D6B" w:rsidRDefault="009E49AE" w:rsidP="00BB3D6B">
      <w:pPr>
        <w:ind w:firstLine="210"/>
        <w:rPr>
          <w:rFonts w:ascii="Times New Roman" w:hAnsi="Times New Roman" w:cs="Times New Roman"/>
          <w:sz w:val="24"/>
          <w:szCs w:val="24"/>
        </w:rPr>
      </w:pPr>
      <w:r w:rsidRPr="00BB3D6B">
        <w:rPr>
          <w:rFonts w:ascii="Times New Roman" w:hAnsi="Times New Roman" w:cs="Times New Roman"/>
          <w:sz w:val="24"/>
          <w:szCs w:val="24"/>
        </w:rPr>
        <w:t xml:space="preserve">Japanese sardine in the northwestern Pacific </w:t>
      </w:r>
      <w:r w:rsidR="0080662F" w:rsidRPr="00BB3D6B">
        <w:rPr>
          <w:rFonts w:ascii="Times New Roman" w:hAnsi="Times New Roman" w:cs="Times New Roman"/>
          <w:sz w:val="24"/>
          <w:szCs w:val="24"/>
        </w:rPr>
        <w:t>is</w:t>
      </w:r>
      <w:r w:rsidRPr="00BB3D6B">
        <w:rPr>
          <w:rFonts w:ascii="Times New Roman" w:hAnsi="Times New Roman" w:cs="Times New Roman"/>
          <w:sz w:val="24"/>
          <w:szCs w:val="24"/>
        </w:rPr>
        <w:t xml:space="preserve"> widely distributed from waters surrounding Japan to the offshore Kuroshio–</w:t>
      </w:r>
      <w:proofErr w:type="spellStart"/>
      <w:r w:rsidRPr="00BB3D6B">
        <w:rPr>
          <w:rFonts w:ascii="Times New Roman" w:hAnsi="Times New Roman" w:cs="Times New Roman"/>
          <w:sz w:val="24"/>
          <w:szCs w:val="24"/>
        </w:rPr>
        <w:t>Oyashio</w:t>
      </w:r>
      <w:proofErr w:type="spellEnd"/>
      <w:r w:rsidRPr="00BB3D6B">
        <w:rPr>
          <w:rFonts w:ascii="Times New Roman" w:hAnsi="Times New Roman" w:cs="Times New Roman"/>
          <w:sz w:val="24"/>
          <w:szCs w:val="24"/>
        </w:rPr>
        <w:t xml:space="preserve"> transition zone. Their distribution and migration patterns are largely determined by transport processes during the early </w:t>
      </w:r>
      <w:proofErr w:type="gramStart"/>
      <w:r w:rsidRPr="00BB3D6B">
        <w:rPr>
          <w:rFonts w:ascii="Times New Roman" w:hAnsi="Times New Roman" w:cs="Times New Roman"/>
          <w:sz w:val="24"/>
          <w:szCs w:val="24"/>
        </w:rPr>
        <w:t>life stages</w:t>
      </w:r>
      <w:proofErr w:type="gramEnd"/>
      <w:r w:rsidRPr="00BB3D6B">
        <w:rPr>
          <w:rFonts w:ascii="Times New Roman" w:hAnsi="Times New Roman" w:cs="Times New Roman"/>
          <w:sz w:val="24"/>
          <w:szCs w:val="24"/>
        </w:rPr>
        <w:t xml:space="preserve">. Current understanding suggests the existence of two major recruitment pathways. The </w:t>
      </w:r>
      <w:r w:rsidRPr="00BB3D6B">
        <w:rPr>
          <w:rFonts w:ascii="Times New Roman" w:hAnsi="Times New Roman" w:cs="Times New Roman"/>
          <w:b/>
          <w:bCs/>
          <w:sz w:val="24"/>
          <w:szCs w:val="24"/>
        </w:rPr>
        <w:t>coastal recruitment group</w:t>
      </w:r>
      <w:r w:rsidRPr="00BB3D6B">
        <w:rPr>
          <w:rFonts w:ascii="Times New Roman" w:hAnsi="Times New Roman" w:cs="Times New Roman"/>
          <w:sz w:val="24"/>
          <w:szCs w:val="24"/>
        </w:rPr>
        <w:t xml:space="preserve"> is transported to coastal nursery grounds around Japan</w:t>
      </w:r>
      <w:r w:rsidR="00730955" w:rsidRPr="00BB3D6B">
        <w:rPr>
          <w:rFonts w:ascii="Times New Roman" w:hAnsi="Times New Roman" w:cs="Times New Roman"/>
          <w:sz w:val="24"/>
          <w:szCs w:val="24"/>
        </w:rPr>
        <w:t xml:space="preserve">, </w:t>
      </w:r>
      <w:r w:rsidRPr="00BB3D6B">
        <w:rPr>
          <w:rFonts w:ascii="Times New Roman" w:hAnsi="Times New Roman" w:cs="Times New Roman"/>
          <w:sz w:val="24"/>
          <w:szCs w:val="24"/>
        </w:rPr>
        <w:t>grows there</w:t>
      </w:r>
      <w:r w:rsidR="00730955" w:rsidRPr="00BB3D6B">
        <w:rPr>
          <w:rFonts w:ascii="Times New Roman" w:hAnsi="Times New Roman" w:cs="Times New Roman"/>
          <w:sz w:val="24"/>
          <w:szCs w:val="24"/>
        </w:rPr>
        <w:t>, and recruits to coastal fisheries. T</w:t>
      </w:r>
      <w:r w:rsidRPr="00BB3D6B">
        <w:rPr>
          <w:rFonts w:ascii="Times New Roman" w:hAnsi="Times New Roman" w:cs="Times New Roman"/>
          <w:sz w:val="24"/>
          <w:szCs w:val="24"/>
        </w:rPr>
        <w:t xml:space="preserve">he </w:t>
      </w:r>
      <w:r w:rsidRPr="00BB3D6B">
        <w:rPr>
          <w:rFonts w:ascii="Times New Roman" w:hAnsi="Times New Roman" w:cs="Times New Roman"/>
          <w:b/>
          <w:bCs/>
          <w:sz w:val="24"/>
          <w:szCs w:val="24"/>
        </w:rPr>
        <w:t>offshore recruitment grou</w:t>
      </w:r>
      <w:r w:rsidR="00730955" w:rsidRPr="00BB3D6B">
        <w:rPr>
          <w:rFonts w:ascii="Times New Roman" w:hAnsi="Times New Roman" w:cs="Times New Roman"/>
          <w:b/>
          <w:bCs/>
          <w:sz w:val="24"/>
          <w:szCs w:val="24"/>
        </w:rPr>
        <w:t xml:space="preserve">p </w:t>
      </w:r>
      <w:r w:rsidRPr="00BB3D6B">
        <w:rPr>
          <w:rFonts w:ascii="Times New Roman" w:hAnsi="Times New Roman" w:cs="Times New Roman"/>
          <w:sz w:val="24"/>
          <w:szCs w:val="24"/>
        </w:rPr>
        <w:t>is transported eastward by the Kuroshio Current to the Kuroshio–</w:t>
      </w:r>
      <w:proofErr w:type="spellStart"/>
      <w:r w:rsidRPr="00BB3D6B">
        <w:rPr>
          <w:rFonts w:ascii="Times New Roman" w:hAnsi="Times New Roman" w:cs="Times New Roman"/>
          <w:sz w:val="24"/>
          <w:szCs w:val="24"/>
        </w:rPr>
        <w:t>Oyashio</w:t>
      </w:r>
      <w:proofErr w:type="spellEnd"/>
      <w:r w:rsidRPr="00BB3D6B">
        <w:rPr>
          <w:rFonts w:ascii="Times New Roman" w:hAnsi="Times New Roman" w:cs="Times New Roman"/>
          <w:sz w:val="24"/>
          <w:szCs w:val="24"/>
        </w:rPr>
        <w:t xml:space="preserve"> transition zone, where juveniles grow </w:t>
      </w:r>
      <w:r w:rsidR="00730955" w:rsidRPr="00BB3D6B">
        <w:rPr>
          <w:rFonts w:ascii="Times New Roman" w:hAnsi="Times New Roman" w:cs="Times New Roman"/>
          <w:sz w:val="24"/>
          <w:szCs w:val="24"/>
        </w:rPr>
        <w:t>and migrate</w:t>
      </w:r>
      <w:r w:rsidRPr="00BB3D6B">
        <w:rPr>
          <w:rFonts w:ascii="Times New Roman" w:hAnsi="Times New Roman" w:cs="Times New Roman"/>
          <w:sz w:val="24"/>
          <w:szCs w:val="24"/>
        </w:rPr>
        <w:t xml:space="preserve"> to subarctic feeding grounds off eastern Hokkaido and the Kuril Islands (Kawabata et al., 2011; Sakamoto et al., 2019). The distribution of age-0 fish belonging to the offshore recruitment group generally covers a broad area regardless of recruitment magnitude. However, Higashiguchi et al. (2026) reported that during recent years of high recruitment, Japanese sardine expanded their distribution farther offshore. Their study also discussed the relationship between the species’ distribution range and favorable thermal </w:t>
      </w:r>
      <w:r w:rsidR="00730955" w:rsidRPr="00BB3D6B">
        <w:rPr>
          <w:rFonts w:ascii="Times New Roman" w:hAnsi="Times New Roman" w:cs="Times New Roman"/>
          <w:sz w:val="24"/>
          <w:szCs w:val="24"/>
        </w:rPr>
        <w:t>niche</w:t>
      </w:r>
      <w:r w:rsidRPr="00BB3D6B">
        <w:rPr>
          <w:rFonts w:ascii="Times New Roman" w:hAnsi="Times New Roman" w:cs="Times New Roman"/>
          <w:sz w:val="24"/>
          <w:szCs w:val="24"/>
        </w:rPr>
        <w:t xml:space="preserve">. It should be noted that the coastal and offshore recruitment groups do not represent independent populations; rather, they differ in their principal spawning periods and nursery </w:t>
      </w:r>
      <w:r w:rsidR="00730955" w:rsidRPr="00BB3D6B">
        <w:rPr>
          <w:rFonts w:ascii="Times New Roman" w:hAnsi="Times New Roman" w:cs="Times New Roman"/>
          <w:sz w:val="24"/>
          <w:szCs w:val="24"/>
        </w:rPr>
        <w:t>grounds</w:t>
      </w:r>
      <w:r w:rsidRPr="00BB3D6B">
        <w:rPr>
          <w:rFonts w:ascii="Times New Roman" w:hAnsi="Times New Roman" w:cs="Times New Roman"/>
          <w:sz w:val="24"/>
          <w:szCs w:val="24"/>
        </w:rPr>
        <w:t>, and recruitment trends are not necessarily synchronized between the two groups.</w:t>
      </w:r>
    </w:p>
    <w:p w14:paraId="658FF1F8" w14:textId="1EE0C552" w:rsidR="009E49AE" w:rsidRPr="00BB3D6B" w:rsidRDefault="009E49AE" w:rsidP="00BB3D6B">
      <w:pPr>
        <w:ind w:firstLine="840"/>
        <w:rPr>
          <w:rFonts w:ascii="Times New Roman" w:hAnsi="Times New Roman" w:cs="Times New Roman"/>
          <w:sz w:val="24"/>
          <w:szCs w:val="24"/>
        </w:rPr>
      </w:pPr>
      <w:r w:rsidRPr="00BB3D6B">
        <w:rPr>
          <w:rFonts w:ascii="Times New Roman" w:hAnsi="Times New Roman" w:cs="Times New Roman"/>
          <w:sz w:val="24"/>
          <w:szCs w:val="24"/>
        </w:rPr>
        <w:t>For fish age</w:t>
      </w:r>
      <w:r w:rsidR="00730955" w:rsidRPr="00BB3D6B">
        <w:rPr>
          <w:rFonts w:ascii="Times New Roman" w:hAnsi="Times New Roman" w:cs="Times New Roman"/>
          <w:sz w:val="24"/>
          <w:szCs w:val="24"/>
        </w:rPr>
        <w:t>-1</w:t>
      </w:r>
      <w:r w:rsidRPr="00BB3D6B">
        <w:rPr>
          <w:rFonts w:ascii="Times New Roman" w:hAnsi="Times New Roman" w:cs="Times New Roman"/>
          <w:sz w:val="24"/>
          <w:szCs w:val="24"/>
        </w:rPr>
        <w:t xml:space="preserve"> and older, Japanese sardine generally overwinter and spawn in waters </w:t>
      </w:r>
      <w:r w:rsidR="00730955" w:rsidRPr="00BB3D6B">
        <w:rPr>
          <w:rFonts w:ascii="Times New Roman" w:hAnsi="Times New Roman" w:cs="Times New Roman"/>
          <w:sz w:val="24"/>
          <w:szCs w:val="24"/>
        </w:rPr>
        <w:t>around</w:t>
      </w:r>
      <w:r w:rsidRPr="00BB3D6B">
        <w:rPr>
          <w:rFonts w:ascii="Times New Roman" w:hAnsi="Times New Roman" w:cs="Times New Roman"/>
          <w:sz w:val="24"/>
          <w:szCs w:val="24"/>
        </w:rPr>
        <w:t xml:space="preserve"> the Kuroshio Current. After spawning, some individuals remain in coastal waters around the Kuroshio region during summer and autumn or </w:t>
      </w:r>
      <w:r w:rsidR="00730955" w:rsidRPr="00BB3D6B">
        <w:rPr>
          <w:rFonts w:ascii="Times New Roman" w:hAnsi="Times New Roman" w:cs="Times New Roman"/>
          <w:sz w:val="24"/>
          <w:szCs w:val="24"/>
        </w:rPr>
        <w:t>perform</w:t>
      </w:r>
      <w:r w:rsidRPr="00BB3D6B">
        <w:rPr>
          <w:rFonts w:ascii="Times New Roman" w:hAnsi="Times New Roman" w:cs="Times New Roman"/>
          <w:sz w:val="24"/>
          <w:szCs w:val="24"/>
        </w:rPr>
        <w:t xml:space="preserve"> limited feeding migrations, whereas others migrate northward to feeding grounds. The </w:t>
      </w:r>
      <w:r w:rsidR="003D0240" w:rsidRPr="00BB3D6B">
        <w:rPr>
          <w:rFonts w:ascii="Times New Roman" w:hAnsi="Times New Roman" w:cs="Times New Roman"/>
          <w:sz w:val="24"/>
          <w:szCs w:val="24"/>
        </w:rPr>
        <w:t>level</w:t>
      </w:r>
      <w:r w:rsidRPr="00BB3D6B">
        <w:rPr>
          <w:rFonts w:ascii="Times New Roman" w:hAnsi="Times New Roman" w:cs="Times New Roman"/>
          <w:sz w:val="24"/>
          <w:szCs w:val="24"/>
        </w:rPr>
        <w:t xml:space="preserve"> of these northward feeding migrations varies with stock abundance. During the period of high stock abundance in the 1980s, the species migrated throughout a subarctic region extending from waters off Sanriku and eastern Hokkaido to areas east of the Kuril Islands, reaching the Emperor Seamount</w:t>
      </w:r>
      <w:r w:rsidR="003D0240" w:rsidRPr="00BB3D6B">
        <w:rPr>
          <w:rFonts w:ascii="Times New Roman" w:hAnsi="Times New Roman" w:cs="Times New Roman"/>
          <w:sz w:val="24"/>
          <w:szCs w:val="24"/>
        </w:rPr>
        <w:t>s</w:t>
      </w:r>
      <w:r w:rsidRPr="00BB3D6B">
        <w:rPr>
          <w:rFonts w:ascii="Times New Roman" w:hAnsi="Times New Roman" w:cs="Times New Roman"/>
          <w:sz w:val="24"/>
          <w:szCs w:val="24"/>
        </w:rPr>
        <w:t xml:space="preserve"> and even areas east of 180</w:t>
      </w:r>
      <w:r w:rsidR="003D0240" w:rsidRPr="00BB3D6B">
        <w:rPr>
          <w:rFonts w:ascii="Times New Roman" w:hAnsi="Times New Roman" w:cs="Times New Roman"/>
          <w:sz w:val="24"/>
          <w:szCs w:val="24"/>
        </w:rPr>
        <w:t>E</w:t>
      </w:r>
      <w:r w:rsidRPr="00BB3D6B">
        <w:rPr>
          <w:rFonts w:ascii="Times New Roman" w:hAnsi="Times New Roman" w:cs="Times New Roman"/>
          <w:sz w:val="24"/>
          <w:szCs w:val="24"/>
        </w:rPr>
        <w:t xml:space="preserve"> (Ito, 1991; Kuroda, 1991). As stock abundance declined to below one million </w:t>
      </w:r>
      <w:r w:rsidR="003D0240" w:rsidRPr="00BB3D6B">
        <w:rPr>
          <w:rFonts w:ascii="Times New Roman" w:hAnsi="Times New Roman" w:cs="Times New Roman"/>
          <w:sz w:val="24"/>
          <w:szCs w:val="24"/>
        </w:rPr>
        <w:t>tons</w:t>
      </w:r>
      <w:r w:rsidRPr="00BB3D6B">
        <w:rPr>
          <w:rFonts w:ascii="Times New Roman" w:hAnsi="Times New Roman" w:cs="Times New Roman"/>
          <w:sz w:val="24"/>
          <w:szCs w:val="24"/>
        </w:rPr>
        <w:t xml:space="preserve"> during the 1990s, the migration range contracted to the </w:t>
      </w:r>
      <w:proofErr w:type="spellStart"/>
      <w:r w:rsidRPr="00BB3D6B">
        <w:rPr>
          <w:rFonts w:ascii="Times New Roman" w:hAnsi="Times New Roman" w:cs="Times New Roman"/>
          <w:sz w:val="24"/>
          <w:szCs w:val="24"/>
        </w:rPr>
        <w:t>Oyashio</w:t>
      </w:r>
      <w:proofErr w:type="spellEnd"/>
      <w:r w:rsidRPr="00BB3D6B">
        <w:rPr>
          <w:rFonts w:ascii="Times New Roman" w:hAnsi="Times New Roman" w:cs="Times New Roman"/>
          <w:sz w:val="24"/>
          <w:szCs w:val="24"/>
        </w:rPr>
        <w:t xml:space="preserve"> region extending from northern Sanriku to eastern Hokkaido. When stock </w:t>
      </w:r>
      <w:r w:rsidR="003D0240" w:rsidRPr="00BB3D6B">
        <w:rPr>
          <w:rFonts w:ascii="Times New Roman" w:hAnsi="Times New Roman" w:cs="Times New Roman"/>
          <w:sz w:val="24"/>
          <w:szCs w:val="24"/>
        </w:rPr>
        <w:t>abundance</w:t>
      </w:r>
      <w:r w:rsidRPr="00BB3D6B">
        <w:rPr>
          <w:rFonts w:ascii="Times New Roman" w:hAnsi="Times New Roman" w:cs="Times New Roman"/>
          <w:sz w:val="24"/>
          <w:szCs w:val="24"/>
        </w:rPr>
        <w:t xml:space="preserve"> declined to below 0.5 million </w:t>
      </w:r>
      <w:r w:rsidR="003D0240" w:rsidRPr="00BB3D6B">
        <w:rPr>
          <w:rFonts w:ascii="Times New Roman" w:hAnsi="Times New Roman" w:cs="Times New Roman"/>
          <w:sz w:val="24"/>
          <w:szCs w:val="24"/>
        </w:rPr>
        <w:t>tons</w:t>
      </w:r>
      <w:r w:rsidRPr="00BB3D6B">
        <w:rPr>
          <w:rFonts w:ascii="Times New Roman" w:hAnsi="Times New Roman" w:cs="Times New Roman"/>
          <w:sz w:val="24"/>
          <w:szCs w:val="24"/>
        </w:rPr>
        <w:t xml:space="preserve"> during the 2000s, the migration range became </w:t>
      </w:r>
      <w:r w:rsidR="003D0240" w:rsidRPr="00BB3D6B">
        <w:rPr>
          <w:rFonts w:ascii="Times New Roman" w:hAnsi="Times New Roman" w:cs="Times New Roman"/>
          <w:sz w:val="24"/>
          <w:szCs w:val="24"/>
        </w:rPr>
        <w:t>further contracted</w:t>
      </w:r>
      <w:r w:rsidRPr="00BB3D6B">
        <w:rPr>
          <w:rFonts w:ascii="Times New Roman" w:hAnsi="Times New Roman" w:cs="Times New Roman"/>
          <w:sz w:val="24"/>
          <w:szCs w:val="24"/>
        </w:rPr>
        <w:t xml:space="preserve"> to the Kuroshio Extension region off Joban and the southern margin of the </w:t>
      </w:r>
      <w:proofErr w:type="spellStart"/>
      <w:r w:rsidRPr="00BB3D6B">
        <w:rPr>
          <w:rFonts w:ascii="Times New Roman" w:hAnsi="Times New Roman" w:cs="Times New Roman"/>
          <w:sz w:val="24"/>
          <w:szCs w:val="24"/>
        </w:rPr>
        <w:t>Oyashio</w:t>
      </w:r>
      <w:proofErr w:type="spellEnd"/>
      <w:r w:rsidRPr="00BB3D6B">
        <w:rPr>
          <w:rFonts w:ascii="Times New Roman" w:hAnsi="Times New Roman" w:cs="Times New Roman"/>
          <w:sz w:val="24"/>
          <w:szCs w:val="24"/>
        </w:rPr>
        <w:t xml:space="preserve"> off southern Sanriku.</w:t>
      </w:r>
    </w:p>
    <w:p w14:paraId="41956891" w14:textId="312997C8" w:rsidR="009E49AE" w:rsidRPr="00BB3D6B" w:rsidRDefault="009E49AE" w:rsidP="00BB3D6B">
      <w:pPr>
        <w:ind w:firstLine="840"/>
        <w:rPr>
          <w:rFonts w:ascii="Times New Roman" w:hAnsi="Times New Roman" w:cs="Times New Roman"/>
          <w:sz w:val="24"/>
          <w:szCs w:val="24"/>
        </w:rPr>
      </w:pPr>
      <w:r w:rsidRPr="00BB3D6B">
        <w:rPr>
          <w:rFonts w:ascii="Times New Roman" w:hAnsi="Times New Roman" w:cs="Times New Roman"/>
          <w:sz w:val="24"/>
          <w:szCs w:val="24"/>
        </w:rPr>
        <w:lastRenderedPageBreak/>
        <w:t xml:space="preserve">With the recent increase in stock abundance, the distribution range of Japanese sardine expanded </w:t>
      </w:r>
      <w:r w:rsidR="003D0240" w:rsidRPr="00BB3D6B">
        <w:rPr>
          <w:rFonts w:ascii="Times New Roman" w:hAnsi="Times New Roman" w:cs="Times New Roman"/>
          <w:sz w:val="24"/>
          <w:szCs w:val="24"/>
        </w:rPr>
        <w:t xml:space="preserve">substantially but </w:t>
      </w:r>
      <w:r w:rsidRPr="00BB3D6B">
        <w:rPr>
          <w:rFonts w:ascii="Times New Roman" w:hAnsi="Times New Roman" w:cs="Times New Roman"/>
          <w:sz w:val="24"/>
          <w:szCs w:val="24"/>
        </w:rPr>
        <w:t xml:space="preserve">temporarily. </w:t>
      </w:r>
      <w:r w:rsidR="003D0240" w:rsidRPr="00BB3D6B">
        <w:rPr>
          <w:rFonts w:ascii="Times New Roman" w:hAnsi="Times New Roman" w:cs="Times New Roman"/>
          <w:sz w:val="24"/>
          <w:szCs w:val="24"/>
        </w:rPr>
        <w:t>Japanese s</w:t>
      </w:r>
      <w:r w:rsidRPr="00BB3D6B">
        <w:rPr>
          <w:rFonts w:ascii="Times New Roman" w:hAnsi="Times New Roman" w:cs="Times New Roman"/>
          <w:sz w:val="24"/>
          <w:szCs w:val="24"/>
        </w:rPr>
        <w:t xml:space="preserve">ummer surveys have recorded age-1 and older fish as far east as approximately 170E since 2018, and the distribution further expanded into the </w:t>
      </w:r>
      <w:r w:rsidR="003D0240" w:rsidRPr="00BB3D6B">
        <w:rPr>
          <w:rFonts w:ascii="Times New Roman" w:hAnsi="Times New Roman" w:cs="Times New Roman"/>
          <w:sz w:val="24"/>
          <w:szCs w:val="24"/>
        </w:rPr>
        <w:t>east of 180E</w:t>
      </w:r>
      <w:r w:rsidRPr="00BB3D6B">
        <w:rPr>
          <w:rFonts w:ascii="Times New Roman" w:hAnsi="Times New Roman" w:cs="Times New Roman"/>
          <w:sz w:val="24"/>
          <w:szCs w:val="24"/>
        </w:rPr>
        <w:t xml:space="preserve"> after 2021. </w:t>
      </w:r>
      <w:r w:rsidR="003D0240" w:rsidRPr="00BB3D6B">
        <w:rPr>
          <w:rFonts w:ascii="Times New Roman" w:hAnsi="Times New Roman" w:cs="Times New Roman"/>
          <w:sz w:val="24"/>
          <w:szCs w:val="24"/>
        </w:rPr>
        <w:t>Japanese a</w:t>
      </w:r>
      <w:r w:rsidRPr="00BB3D6B">
        <w:rPr>
          <w:rFonts w:ascii="Times New Roman" w:hAnsi="Times New Roman" w:cs="Times New Roman"/>
          <w:sz w:val="24"/>
          <w:szCs w:val="24"/>
        </w:rPr>
        <w:t xml:space="preserve">utumn surveys have also documented occurrences </w:t>
      </w:r>
      <w:r w:rsidR="003D0240" w:rsidRPr="00BB3D6B">
        <w:rPr>
          <w:rFonts w:ascii="Times New Roman" w:hAnsi="Times New Roman" w:cs="Times New Roman"/>
          <w:sz w:val="24"/>
          <w:szCs w:val="24"/>
        </w:rPr>
        <w:t xml:space="preserve">of age-1 and older fish </w:t>
      </w:r>
      <w:r w:rsidRPr="00BB3D6B">
        <w:rPr>
          <w:rFonts w:ascii="Times New Roman" w:hAnsi="Times New Roman" w:cs="Times New Roman"/>
          <w:sz w:val="24"/>
          <w:szCs w:val="24"/>
        </w:rPr>
        <w:t xml:space="preserve">off the Kuril Islands since 2019. However, surveys conducted since 2024 have indicated </w:t>
      </w:r>
      <w:r w:rsidR="003D0240" w:rsidRPr="00BB3D6B">
        <w:rPr>
          <w:rFonts w:ascii="Times New Roman" w:hAnsi="Times New Roman" w:cs="Times New Roman"/>
          <w:sz w:val="24"/>
          <w:szCs w:val="24"/>
        </w:rPr>
        <w:t xml:space="preserve">that the distribution in offshore region is </w:t>
      </w:r>
      <w:r w:rsidRPr="00BB3D6B">
        <w:rPr>
          <w:rFonts w:ascii="Times New Roman" w:hAnsi="Times New Roman" w:cs="Times New Roman"/>
          <w:sz w:val="24"/>
          <w:szCs w:val="24"/>
        </w:rPr>
        <w:t xml:space="preserve">limited </w:t>
      </w:r>
      <w:r w:rsidR="003D0240" w:rsidRPr="00BB3D6B">
        <w:rPr>
          <w:rFonts w:ascii="Times New Roman" w:hAnsi="Times New Roman" w:cs="Times New Roman"/>
          <w:sz w:val="24"/>
          <w:szCs w:val="24"/>
        </w:rPr>
        <w:t>for</w:t>
      </w:r>
      <w:r w:rsidRPr="00BB3D6B">
        <w:rPr>
          <w:rFonts w:ascii="Times New Roman" w:hAnsi="Times New Roman" w:cs="Times New Roman"/>
          <w:sz w:val="24"/>
          <w:szCs w:val="24"/>
        </w:rPr>
        <w:t xml:space="preserve"> age-1 and older fish, suggesting a possible contraction of the distribution range.</w:t>
      </w:r>
    </w:p>
    <w:p w14:paraId="264AF401" w14:textId="77777777" w:rsidR="00507BFD" w:rsidRPr="000970D9" w:rsidRDefault="00507BFD" w:rsidP="00507BFD">
      <w:pPr>
        <w:widowControl/>
        <w:jc w:val="left"/>
        <w:rPr>
          <w:rFonts w:ascii="Times New Roman" w:hAnsi="Times New Roman" w:cs="Times New Roman"/>
          <w:sz w:val="24"/>
          <w:szCs w:val="24"/>
        </w:rPr>
      </w:pPr>
    </w:p>
    <w:p w14:paraId="70457736" w14:textId="77DE4D5E" w:rsidR="003D0240" w:rsidRPr="00BB3D6B" w:rsidRDefault="00507BFD" w:rsidP="00BB3D6B">
      <w:pPr>
        <w:widowControl/>
        <w:jc w:val="left"/>
        <w:rPr>
          <w:rFonts w:ascii="Times New Roman" w:hAnsi="Times New Roman" w:cs="Times New Roman"/>
          <w:sz w:val="24"/>
          <w:szCs w:val="24"/>
        </w:rPr>
      </w:pPr>
      <w:r w:rsidRPr="00BB3D6B">
        <w:rPr>
          <w:rFonts w:ascii="Times New Roman" w:hAnsi="Times New Roman" w:cs="Times New Roman"/>
          <w:b/>
          <w:bCs/>
          <w:sz w:val="24"/>
          <w:szCs w:val="24"/>
        </w:rPr>
        <w:t>G</w:t>
      </w:r>
      <w:r w:rsidR="003D0240" w:rsidRPr="00BB3D6B">
        <w:rPr>
          <w:rFonts w:ascii="Times New Roman" w:hAnsi="Times New Roman" w:cs="Times New Roman"/>
          <w:b/>
          <w:bCs/>
          <w:sz w:val="24"/>
          <w:szCs w:val="24"/>
        </w:rPr>
        <w:t>rowth</w:t>
      </w:r>
    </w:p>
    <w:p w14:paraId="33FB36A6" w14:textId="2149D9B1" w:rsidR="003D0240" w:rsidRPr="00BB3D6B" w:rsidRDefault="003D0240" w:rsidP="00BB3D6B">
      <w:pPr>
        <w:ind w:firstLine="840"/>
        <w:rPr>
          <w:rFonts w:ascii="Times New Roman" w:hAnsi="Times New Roman" w:cs="Times New Roman"/>
          <w:sz w:val="24"/>
          <w:szCs w:val="24"/>
        </w:rPr>
      </w:pPr>
      <w:r w:rsidRPr="00BB3D6B">
        <w:rPr>
          <w:rFonts w:ascii="Times New Roman" w:hAnsi="Times New Roman" w:cs="Times New Roman"/>
          <w:sz w:val="24"/>
          <w:szCs w:val="24"/>
        </w:rPr>
        <w:t>Growth of Japanese sardine in the northwestern Pacific is known to vary with stock abundance. Kamimura et al. (2022) compared growth curves of individual year classes during the period of large stock fluctuations in the 1970s and 1980s with those of year classes from 2011 to 2020 and presented the existence of substantial interannual variability in growth. In particular, the 2017–</w:t>
      </w:r>
      <w:proofErr w:type="gramStart"/>
      <w:r w:rsidRPr="00BB3D6B">
        <w:rPr>
          <w:rFonts w:ascii="Times New Roman" w:hAnsi="Times New Roman" w:cs="Times New Roman"/>
          <w:sz w:val="24"/>
          <w:szCs w:val="24"/>
        </w:rPr>
        <w:t>2018 year</w:t>
      </w:r>
      <w:proofErr w:type="gramEnd"/>
      <w:r w:rsidRPr="00BB3D6B">
        <w:rPr>
          <w:rFonts w:ascii="Times New Roman" w:hAnsi="Times New Roman" w:cs="Times New Roman"/>
          <w:sz w:val="24"/>
          <w:szCs w:val="24"/>
        </w:rPr>
        <w:t xml:space="preserve"> classes exhibited growth rates as low as those observed for the year classes that supported the high stock abundance period of the early 1980s. However, unlike the growth patterns observed during the 1980s, recent growth reductions may be subject to stronger density-dependent effects due to relatively limited zooplankton biomass in the summer feeding ground in recent years.</w:t>
      </w:r>
    </w:p>
    <w:p w14:paraId="476C44AA" w14:textId="7F40B9FC" w:rsidR="003D0240" w:rsidRPr="00BB3D6B" w:rsidRDefault="008E1E4D" w:rsidP="00BB3D6B">
      <w:pPr>
        <w:ind w:firstLine="840"/>
        <w:rPr>
          <w:rFonts w:ascii="Times New Roman" w:hAnsi="Times New Roman" w:cs="Times New Roman"/>
          <w:sz w:val="24"/>
          <w:szCs w:val="24"/>
        </w:rPr>
      </w:pPr>
      <w:r w:rsidRPr="00BB3D6B">
        <w:rPr>
          <w:rFonts w:ascii="Times New Roman" w:hAnsi="Times New Roman" w:cs="Times New Roman"/>
          <w:sz w:val="24"/>
          <w:szCs w:val="24"/>
        </w:rPr>
        <w:t>M</w:t>
      </w:r>
      <w:r w:rsidR="003D0240" w:rsidRPr="00BB3D6B">
        <w:rPr>
          <w:rFonts w:ascii="Times New Roman" w:hAnsi="Times New Roman" w:cs="Times New Roman"/>
          <w:sz w:val="24"/>
          <w:szCs w:val="24"/>
        </w:rPr>
        <w:t xml:space="preserve">ean scale-covered fork length (hereafter BL) at age for Japanese sardine caught in Japan was calculated using </w:t>
      </w:r>
      <w:r w:rsidRPr="00BB3D6B">
        <w:rPr>
          <w:rFonts w:ascii="Times New Roman" w:hAnsi="Times New Roman" w:cs="Times New Roman"/>
          <w:sz w:val="24"/>
          <w:szCs w:val="24"/>
        </w:rPr>
        <w:t>catch number at age at length</w:t>
      </w:r>
      <w:r w:rsidR="003D0240" w:rsidRPr="00BB3D6B">
        <w:rPr>
          <w:rFonts w:ascii="Times New Roman" w:hAnsi="Times New Roman" w:cs="Times New Roman"/>
          <w:sz w:val="24"/>
          <w:szCs w:val="24"/>
        </w:rPr>
        <w:t xml:space="preserve"> data from the Japanese </w:t>
      </w:r>
      <w:r w:rsidRPr="00BB3D6B">
        <w:rPr>
          <w:rFonts w:ascii="Times New Roman" w:hAnsi="Times New Roman" w:cs="Times New Roman"/>
          <w:sz w:val="24"/>
          <w:szCs w:val="24"/>
        </w:rPr>
        <w:t xml:space="preserve">domestic </w:t>
      </w:r>
      <w:r w:rsidR="003D0240" w:rsidRPr="00BB3D6B">
        <w:rPr>
          <w:rFonts w:ascii="Times New Roman" w:hAnsi="Times New Roman" w:cs="Times New Roman"/>
          <w:sz w:val="24"/>
          <w:szCs w:val="24"/>
        </w:rPr>
        <w:t>stock assessment. The mean length</w:t>
      </w:r>
      <w:r w:rsidR="00BB3D6B">
        <w:rPr>
          <w:rFonts w:ascii="Times New Roman" w:hAnsi="Times New Roman" w:cs="Times New Roman" w:hint="eastAsia"/>
          <w:sz w:val="24"/>
          <w:szCs w:val="24"/>
        </w:rPr>
        <w:t>-</w:t>
      </w:r>
      <w:r w:rsidR="003D0240" w:rsidRPr="00BB3D6B">
        <w:rPr>
          <w:rFonts w:ascii="Times New Roman" w:hAnsi="Times New Roman" w:cs="Times New Roman"/>
          <w:sz w:val="24"/>
          <w:szCs w:val="24"/>
        </w:rPr>
        <w:t>at</w:t>
      </w:r>
      <w:r w:rsidR="00BB3D6B">
        <w:rPr>
          <w:rFonts w:ascii="Times New Roman" w:hAnsi="Times New Roman" w:cs="Times New Roman" w:hint="eastAsia"/>
          <w:sz w:val="24"/>
          <w:szCs w:val="24"/>
        </w:rPr>
        <w:t>-</w:t>
      </w:r>
      <w:r w:rsidR="003D0240" w:rsidRPr="00BB3D6B">
        <w:rPr>
          <w:rFonts w:ascii="Times New Roman" w:hAnsi="Times New Roman" w:cs="Times New Roman"/>
          <w:sz w:val="24"/>
          <w:szCs w:val="24"/>
        </w:rPr>
        <w:t>age was calculated as:</w:t>
      </w:r>
    </w:p>
    <w:p w14:paraId="6781E45B" w14:textId="77777777" w:rsidR="0080662F" w:rsidRPr="00BB3D6B" w:rsidRDefault="00000000" w:rsidP="0080662F">
      <w:pPr>
        <w:rPr>
          <w:rFonts w:ascii="Times New Roman" w:hAnsi="Times New Roman" w:cs="Times New Roman"/>
          <w:i/>
          <w:sz w:val="24"/>
          <w:szCs w:val="24"/>
        </w:rPr>
      </w:pPr>
      <m:oMathPara>
        <m:oMath>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BL</m:t>
                  </m:r>
                </m:e>
                <m:sub>
                  <m:r>
                    <w:rPr>
                      <w:rFonts w:ascii="Cambria Math" w:hAnsi="Cambria Math" w:cs="Times New Roman"/>
                      <w:sz w:val="24"/>
                      <w:szCs w:val="24"/>
                    </w:rPr>
                    <m:t>a,y</m:t>
                  </m:r>
                </m:sub>
              </m:sSub>
            </m:e>
          </m:acc>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BL,a,y</m:t>
                      </m:r>
                    </m:sub>
                  </m:sSub>
                  <m:r>
                    <w:rPr>
                      <w:rFonts w:ascii="Cambria Math" w:hAnsi="Cambria Math" w:cs="Times New Roman"/>
                      <w:sz w:val="24"/>
                      <w:szCs w:val="24"/>
                    </w:rPr>
                    <m:t>BL</m:t>
                  </m:r>
                </m:e>
              </m:nary>
            </m:num>
            <m:den>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a,y</m:t>
                      </m:r>
                    </m:sub>
                  </m:sSub>
                </m:e>
              </m:nary>
            </m:den>
          </m:f>
        </m:oMath>
      </m:oMathPara>
    </w:p>
    <w:p w14:paraId="6410875A" w14:textId="3CC63142" w:rsidR="003D0240" w:rsidRPr="00BB3D6B" w:rsidRDefault="003D0240" w:rsidP="003D0240">
      <w:pPr>
        <w:rPr>
          <w:rFonts w:ascii="Times New Roman" w:hAnsi="Times New Roman" w:cs="Times New Roman"/>
          <w:sz w:val="24"/>
          <w:szCs w:val="24"/>
        </w:rPr>
      </w:pPr>
      <w:r w:rsidRPr="00BB3D6B">
        <w:rPr>
          <w:rFonts w:ascii="Times New Roman" w:hAnsi="Times New Roman" w:cs="Times New Roman"/>
          <w:sz w:val="24"/>
          <w:szCs w:val="24"/>
        </w:rPr>
        <w:t xml:space="preserve">where </w:t>
      </w:r>
      <w:r w:rsidR="008E1E4D" w:rsidRPr="00BB3D6B">
        <w:rPr>
          <w:rFonts w:ascii="Times New Roman" w:hAnsi="Times New Roman" w:cs="Times New Roman"/>
          <w:i/>
          <w:iCs/>
          <w:sz w:val="24"/>
          <w:szCs w:val="24"/>
        </w:rPr>
        <w:t>BL</w:t>
      </w:r>
      <w:r w:rsidRPr="00BB3D6B">
        <w:rPr>
          <w:rFonts w:ascii="Times New Roman" w:hAnsi="Times New Roman" w:cs="Times New Roman"/>
          <w:sz w:val="24"/>
          <w:szCs w:val="24"/>
        </w:rPr>
        <w:t xml:space="preserve"> is the scale-covered fork length (cm), </w:t>
      </w:r>
      <w:r w:rsidRPr="00BB3D6B">
        <w:rPr>
          <w:rFonts w:ascii="Times New Roman" w:hAnsi="Times New Roman" w:cs="Times New Roman"/>
          <w:i/>
          <w:iCs/>
          <w:sz w:val="24"/>
          <w:szCs w:val="24"/>
        </w:rPr>
        <w:t>c</w:t>
      </w:r>
      <w:r w:rsidRPr="00BB3D6B">
        <w:rPr>
          <w:rFonts w:ascii="Times New Roman" w:hAnsi="Times New Roman" w:cs="Times New Roman"/>
          <w:sz w:val="24"/>
          <w:szCs w:val="24"/>
        </w:rPr>
        <w:t xml:space="preserve"> is the </w:t>
      </w:r>
      <w:r w:rsidR="008E1E4D" w:rsidRPr="00BB3D6B">
        <w:rPr>
          <w:rFonts w:ascii="Times New Roman" w:hAnsi="Times New Roman" w:cs="Times New Roman"/>
          <w:sz w:val="24"/>
          <w:szCs w:val="24"/>
        </w:rPr>
        <w:t>catch number</w:t>
      </w:r>
      <w:r w:rsidRPr="00BB3D6B">
        <w:rPr>
          <w:rFonts w:ascii="Times New Roman" w:hAnsi="Times New Roman" w:cs="Times New Roman"/>
          <w:sz w:val="24"/>
          <w:szCs w:val="24"/>
        </w:rPr>
        <w:t xml:space="preserve">, </w:t>
      </w:r>
      <w:r w:rsidRPr="00BB3D6B">
        <w:rPr>
          <w:rFonts w:ascii="Times New Roman" w:hAnsi="Times New Roman" w:cs="Times New Roman"/>
          <w:i/>
          <w:iCs/>
          <w:sz w:val="24"/>
          <w:szCs w:val="24"/>
        </w:rPr>
        <w:t>a</w:t>
      </w:r>
      <w:r w:rsidRPr="00BB3D6B">
        <w:rPr>
          <w:rFonts w:ascii="Times New Roman" w:hAnsi="Times New Roman" w:cs="Times New Roman"/>
          <w:sz w:val="24"/>
          <w:szCs w:val="24"/>
        </w:rPr>
        <w:t xml:space="preserve"> is age, and </w:t>
      </w:r>
      <w:r w:rsidRPr="00BB3D6B">
        <w:rPr>
          <w:rFonts w:ascii="Times New Roman" w:hAnsi="Times New Roman" w:cs="Times New Roman"/>
          <w:i/>
          <w:iCs/>
          <w:sz w:val="24"/>
          <w:szCs w:val="24"/>
        </w:rPr>
        <w:t>y</w:t>
      </w:r>
      <w:r w:rsidRPr="00BB3D6B">
        <w:rPr>
          <w:rFonts w:ascii="Times New Roman" w:hAnsi="Times New Roman" w:cs="Times New Roman"/>
          <w:sz w:val="24"/>
          <w:szCs w:val="24"/>
        </w:rPr>
        <w:t xml:space="preserve"> is year.</w:t>
      </w:r>
    </w:p>
    <w:p w14:paraId="6925679A" w14:textId="5F2C9FBE" w:rsidR="003D0240" w:rsidRPr="00BB3D6B" w:rsidRDefault="003D0240" w:rsidP="003D0240">
      <w:pPr>
        <w:rPr>
          <w:rFonts w:ascii="Times New Roman" w:hAnsi="Times New Roman" w:cs="Times New Roman"/>
          <w:sz w:val="24"/>
          <w:szCs w:val="24"/>
        </w:rPr>
      </w:pPr>
      <w:r w:rsidRPr="00BB3D6B">
        <w:rPr>
          <w:rFonts w:ascii="Times New Roman" w:hAnsi="Times New Roman" w:cs="Times New Roman"/>
          <w:sz w:val="24"/>
          <w:szCs w:val="24"/>
        </w:rPr>
        <w:t>Calculated mean lengths</w:t>
      </w:r>
      <w:r w:rsidR="008E1E4D" w:rsidRPr="00BB3D6B">
        <w:rPr>
          <w:rFonts w:ascii="Times New Roman" w:hAnsi="Times New Roman" w:cs="Times New Roman"/>
          <w:sz w:val="24"/>
          <w:szCs w:val="24"/>
        </w:rPr>
        <w:t>-a</w:t>
      </w:r>
      <w:r w:rsidRPr="00BB3D6B">
        <w:rPr>
          <w:rFonts w:ascii="Times New Roman" w:hAnsi="Times New Roman" w:cs="Times New Roman"/>
          <w:sz w:val="24"/>
          <w:szCs w:val="24"/>
        </w:rPr>
        <w:t>t</w:t>
      </w:r>
      <w:r w:rsidR="008E1E4D" w:rsidRPr="00BB3D6B">
        <w:rPr>
          <w:rFonts w:ascii="Times New Roman" w:hAnsi="Times New Roman" w:cs="Times New Roman"/>
          <w:sz w:val="24"/>
          <w:szCs w:val="24"/>
        </w:rPr>
        <w:t>-</w:t>
      </w:r>
      <w:r w:rsidRPr="00BB3D6B">
        <w:rPr>
          <w:rFonts w:ascii="Times New Roman" w:hAnsi="Times New Roman" w:cs="Times New Roman"/>
          <w:sz w:val="24"/>
          <w:szCs w:val="24"/>
        </w:rPr>
        <w:t xml:space="preserve">age are presented in Table 1 and Figure 1. The </w:t>
      </w:r>
      <w:r w:rsidR="008E1E4D" w:rsidRPr="00BB3D6B">
        <w:rPr>
          <w:rFonts w:ascii="Times New Roman" w:hAnsi="Times New Roman" w:cs="Times New Roman"/>
          <w:sz w:val="24"/>
          <w:szCs w:val="24"/>
        </w:rPr>
        <w:t>mean length-</w:t>
      </w:r>
      <w:r w:rsidRPr="00BB3D6B">
        <w:rPr>
          <w:rFonts w:ascii="Times New Roman" w:hAnsi="Times New Roman" w:cs="Times New Roman"/>
          <w:sz w:val="24"/>
          <w:szCs w:val="24"/>
        </w:rPr>
        <w:t>at</w:t>
      </w:r>
      <w:r w:rsidR="008E1E4D" w:rsidRPr="00BB3D6B">
        <w:rPr>
          <w:rFonts w:ascii="Times New Roman" w:hAnsi="Times New Roman" w:cs="Times New Roman"/>
          <w:sz w:val="24"/>
          <w:szCs w:val="24"/>
        </w:rPr>
        <w:t>-</w:t>
      </w:r>
      <w:r w:rsidRPr="00BB3D6B">
        <w:rPr>
          <w:rFonts w:ascii="Times New Roman" w:hAnsi="Times New Roman" w:cs="Times New Roman"/>
          <w:sz w:val="24"/>
          <w:szCs w:val="24"/>
        </w:rPr>
        <w:t xml:space="preserve"> age in 2023 and 2024 was less than 20 cm at age</w:t>
      </w:r>
      <w:r w:rsidR="008E1E4D" w:rsidRPr="00BB3D6B">
        <w:rPr>
          <w:rFonts w:ascii="Times New Roman" w:hAnsi="Times New Roman" w:cs="Times New Roman"/>
          <w:sz w:val="24"/>
          <w:szCs w:val="24"/>
        </w:rPr>
        <w:t>-</w:t>
      </w:r>
      <w:r w:rsidRPr="00BB3D6B">
        <w:rPr>
          <w:rFonts w:ascii="Times New Roman" w:hAnsi="Times New Roman" w:cs="Times New Roman"/>
          <w:sz w:val="24"/>
          <w:szCs w:val="24"/>
        </w:rPr>
        <w:t>5. This result is consistent with the findings of Kamimura et al. (2022), given that individuals from the 2018</w:t>
      </w:r>
      <w:r w:rsidR="0080662F" w:rsidRPr="00BB3D6B">
        <w:rPr>
          <w:rFonts w:ascii="Times New Roman" w:hAnsi="Times New Roman" w:cs="Times New Roman"/>
          <w:sz w:val="24"/>
          <w:szCs w:val="24"/>
        </w:rPr>
        <w:t>-</w:t>
      </w:r>
      <w:r w:rsidRPr="00BB3D6B">
        <w:rPr>
          <w:rFonts w:ascii="Times New Roman" w:hAnsi="Times New Roman" w:cs="Times New Roman"/>
          <w:sz w:val="24"/>
          <w:szCs w:val="24"/>
        </w:rPr>
        <w:t>year class, which was reported to exhibit particularly slow growth, reached age 5 in 2023.</w:t>
      </w:r>
    </w:p>
    <w:p w14:paraId="6445A920" w14:textId="519B8A7D" w:rsidR="008E1E4D" w:rsidRPr="00BB3D6B" w:rsidRDefault="008E1E4D">
      <w:pPr>
        <w:widowControl/>
        <w:jc w:val="left"/>
        <w:rPr>
          <w:rFonts w:ascii="Times New Roman" w:hAnsi="Times New Roman" w:cs="Times New Roman"/>
          <w:sz w:val="24"/>
          <w:szCs w:val="24"/>
        </w:rPr>
      </w:pPr>
    </w:p>
    <w:p w14:paraId="4DD7C2E1" w14:textId="77777777" w:rsidR="008E1E4D" w:rsidRPr="00BB3D6B" w:rsidRDefault="008E1E4D" w:rsidP="008E1E4D">
      <w:pPr>
        <w:rPr>
          <w:rFonts w:ascii="Times New Roman" w:hAnsi="Times New Roman" w:cs="Times New Roman"/>
          <w:b/>
          <w:bCs/>
          <w:sz w:val="24"/>
          <w:szCs w:val="24"/>
        </w:rPr>
      </w:pPr>
      <w:r w:rsidRPr="00BB3D6B">
        <w:rPr>
          <w:rFonts w:ascii="Times New Roman" w:hAnsi="Times New Roman" w:cs="Times New Roman"/>
          <w:b/>
          <w:bCs/>
          <w:sz w:val="24"/>
          <w:szCs w:val="24"/>
        </w:rPr>
        <w:t>Weight-at-Age</w:t>
      </w:r>
    </w:p>
    <w:p w14:paraId="695C10AC" w14:textId="4D8BCD72" w:rsidR="008E1E4D" w:rsidRPr="00BB3D6B" w:rsidRDefault="008E1E4D" w:rsidP="00BB3D6B">
      <w:pPr>
        <w:ind w:firstLine="840"/>
        <w:rPr>
          <w:rFonts w:ascii="Times New Roman" w:hAnsi="Times New Roman" w:cs="Times New Roman"/>
          <w:sz w:val="24"/>
          <w:szCs w:val="24"/>
        </w:rPr>
      </w:pPr>
      <w:r w:rsidRPr="00BB3D6B">
        <w:rPr>
          <w:rFonts w:ascii="Times New Roman" w:hAnsi="Times New Roman" w:cs="Times New Roman"/>
          <w:sz w:val="24"/>
          <w:szCs w:val="24"/>
        </w:rPr>
        <w:t>In the Japanese domestic stock assessment, mean weight-at-age is estimated annually as:</w:t>
      </w:r>
    </w:p>
    <w:p w14:paraId="1B1E8ED7" w14:textId="77777777" w:rsidR="008E1E4D" w:rsidRPr="00BB3D6B" w:rsidRDefault="00000000" w:rsidP="008E1E4D">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a,y</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d>
                    <m:dPr>
                      <m:ctrlPr>
                        <w:rPr>
                          <w:rFonts w:ascii="Cambria Math" w:hAnsi="Cambria Math" w:cs="Times New Roman"/>
                          <w:i/>
                          <w:sz w:val="24"/>
                          <w:szCs w:val="24"/>
                        </w:rPr>
                      </m:ctrlPr>
                    </m:dPr>
                    <m:e>
                      <m:r>
                        <w:rPr>
                          <w:rFonts w:ascii="Cambria Math" w:hAnsi="Cambria Math" w:cs="Times New Roman"/>
                          <w:sz w:val="24"/>
                          <w:szCs w:val="24"/>
                        </w:rPr>
                        <m:t>α×</m:t>
                      </m:r>
                      <m:sSup>
                        <m:sSupPr>
                          <m:ctrlPr>
                            <w:rPr>
                              <w:rFonts w:ascii="Cambria Math" w:hAnsi="Cambria Math" w:cs="Times New Roman"/>
                              <w:i/>
                              <w:sz w:val="24"/>
                              <w:szCs w:val="24"/>
                            </w:rPr>
                          </m:ctrlPr>
                        </m:sSupPr>
                        <m:e>
                          <m:r>
                            <w:rPr>
                              <w:rFonts w:ascii="Cambria Math" w:hAnsi="Cambria Math" w:cs="Times New Roman"/>
                              <w:sz w:val="24"/>
                              <w:szCs w:val="24"/>
                            </w:rPr>
                            <m:t>BL</m:t>
                          </m:r>
                        </m:e>
                        <m:sup>
                          <m:r>
                            <w:rPr>
                              <w:rFonts w:ascii="Cambria Math" w:hAnsi="Cambria Math" w:cs="Times New Roman"/>
                              <w:sz w:val="24"/>
                              <w:szCs w:val="24"/>
                            </w:rPr>
                            <m:t>β</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BL,y,m,pref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BL,a,y,m,area</m:t>
                          </m:r>
                        </m:sub>
                      </m:sSub>
                    </m:e>
                  </m:d>
                </m:e>
              </m:nary>
            </m:num>
            <m:den>
              <m:nary>
                <m:naryPr>
                  <m:chr m:val="∑"/>
                  <m:limLoc m:val="undOvr"/>
                  <m:subHide m:val="1"/>
                  <m:supHide m:val="1"/>
                  <m:ctrlPr>
                    <w:rPr>
                      <w:rFonts w:ascii="Cambria Math" w:hAnsi="Cambria Math" w:cs="Times New Roman"/>
                      <w:i/>
                      <w:sz w:val="24"/>
                      <w:szCs w:val="24"/>
                    </w:rPr>
                  </m:ctrlPr>
                </m:naryPr>
                <m:sub/>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BL,y,m,pref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BL,a,y,m,area</m:t>
                          </m:r>
                        </m:sub>
                      </m:sSub>
                    </m:e>
                  </m:d>
                </m:e>
              </m:nary>
            </m:den>
          </m:f>
        </m:oMath>
      </m:oMathPara>
    </w:p>
    <w:p w14:paraId="55C608A4" w14:textId="5E4A2B4E" w:rsidR="008E1E4D" w:rsidRPr="00BB3D6B" w:rsidRDefault="008E1E4D" w:rsidP="008E1E4D">
      <w:pPr>
        <w:rPr>
          <w:rFonts w:ascii="Times New Roman" w:hAnsi="Times New Roman" w:cs="Times New Roman"/>
          <w:sz w:val="24"/>
          <w:szCs w:val="24"/>
        </w:rPr>
      </w:pPr>
      <w:r w:rsidRPr="00BB3D6B">
        <w:rPr>
          <w:rFonts w:ascii="Times New Roman" w:hAnsi="Times New Roman" w:cs="Times New Roman"/>
          <w:sz w:val="24"/>
          <w:szCs w:val="24"/>
        </w:rPr>
        <w:t xml:space="preserve">where </w:t>
      </w:r>
      <m:oMath>
        <m:r>
          <w:rPr>
            <w:rFonts w:ascii="Cambria Math" w:hAnsi="Cambria Math" w:cs="Times New Roman"/>
            <w:sz w:val="24"/>
            <w:szCs w:val="24"/>
          </w:rPr>
          <m:t>α</m:t>
        </m:r>
      </m:oMath>
      <w:r w:rsidRPr="00BB3D6B">
        <w:rPr>
          <w:rFonts w:ascii="Times New Roman" w:hAnsi="Times New Roman" w:cs="Times New Roman"/>
          <w:sz w:val="24"/>
          <w:szCs w:val="24"/>
        </w:rPr>
        <w:t xml:space="preserve"> and </w:t>
      </w:r>
      <m:oMath>
        <m:r>
          <w:rPr>
            <w:rFonts w:ascii="Cambria Math" w:hAnsi="Cambria Math" w:cs="Times New Roman"/>
            <w:sz w:val="24"/>
            <w:szCs w:val="24"/>
          </w:rPr>
          <m:t>β</m:t>
        </m:r>
      </m:oMath>
      <w:r w:rsidRPr="00BB3D6B">
        <w:rPr>
          <w:rFonts w:ascii="Times New Roman" w:hAnsi="Times New Roman" w:cs="Times New Roman"/>
          <w:sz w:val="24"/>
          <w:szCs w:val="24"/>
        </w:rPr>
        <w:t xml:space="preserve"> are parameters of the length–weight relationship based on scale-</w:t>
      </w:r>
      <w:r w:rsidRPr="00BB3D6B">
        <w:rPr>
          <w:rFonts w:ascii="Times New Roman" w:hAnsi="Times New Roman" w:cs="Times New Roman"/>
          <w:sz w:val="24"/>
          <w:szCs w:val="24"/>
        </w:rPr>
        <w:lastRenderedPageBreak/>
        <w:t xml:space="preserve">covered fork length </w:t>
      </w:r>
      <w:r w:rsidRPr="00BB3D6B">
        <w:rPr>
          <w:rFonts w:ascii="Times New Roman" w:hAnsi="Times New Roman" w:cs="Times New Roman"/>
          <w:i/>
          <w:iCs/>
          <w:sz w:val="24"/>
          <w:szCs w:val="24"/>
        </w:rPr>
        <w:t>BL</w:t>
      </w:r>
      <w:r w:rsidRPr="00BB3D6B">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BL,y,m,pref</m:t>
            </m:r>
          </m:sub>
        </m:sSub>
      </m:oMath>
      <w:r w:rsidRPr="00BB3D6B">
        <w:rPr>
          <w:rFonts w:ascii="Times New Roman" w:hAnsi="Times New Roman" w:cs="Times New Roman"/>
          <w:sz w:val="24"/>
          <w:szCs w:val="24"/>
        </w:rPr>
        <w:t xml:space="preserve"> is the catch number at a given length (cm) in prefecture </w:t>
      </w:r>
      <w:proofErr w:type="spellStart"/>
      <w:r w:rsidRPr="00BB3D6B">
        <w:rPr>
          <w:rFonts w:ascii="Times New Roman" w:hAnsi="Times New Roman" w:cs="Times New Roman"/>
          <w:i/>
          <w:iCs/>
          <w:sz w:val="24"/>
          <w:szCs w:val="24"/>
        </w:rPr>
        <w:t>pref</w:t>
      </w:r>
      <w:proofErr w:type="spellEnd"/>
      <w:r w:rsidRPr="00BB3D6B">
        <w:rPr>
          <w:rFonts w:ascii="Times New Roman" w:hAnsi="Times New Roman" w:cs="Times New Roman"/>
          <w:sz w:val="24"/>
          <w:szCs w:val="24"/>
        </w:rPr>
        <w:t xml:space="preserve"> during month </w:t>
      </w:r>
      <w:r w:rsidRPr="00BB3D6B">
        <w:rPr>
          <w:rFonts w:ascii="Times New Roman" w:hAnsi="Times New Roman" w:cs="Times New Roman"/>
          <w:i/>
          <w:iCs/>
          <w:sz w:val="24"/>
          <w:szCs w:val="24"/>
        </w:rPr>
        <w:t>m</w:t>
      </w:r>
      <w:r w:rsidRPr="00BB3D6B">
        <w:rPr>
          <w:rFonts w:ascii="Times New Roman" w:hAnsi="Times New Roman" w:cs="Times New Roman"/>
          <w:sz w:val="24"/>
          <w:szCs w:val="24"/>
        </w:rPr>
        <w:t xml:space="preserve"> of year </w:t>
      </w:r>
      <w:r w:rsidRPr="00BB3D6B">
        <w:rPr>
          <w:rFonts w:ascii="Times New Roman" w:hAnsi="Times New Roman" w:cs="Times New Roman"/>
          <w:i/>
          <w:iCs/>
          <w:sz w:val="24"/>
          <w:szCs w:val="24"/>
        </w:rPr>
        <w:t>y</w:t>
      </w:r>
      <w:r w:rsidRPr="00BB3D6B">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BL,a,y,m,area</m:t>
            </m:r>
          </m:sub>
        </m:sSub>
      </m:oMath>
      <w:r w:rsidRPr="00BB3D6B">
        <w:rPr>
          <w:rFonts w:ascii="Times New Roman" w:hAnsi="Times New Roman" w:cs="Times New Roman"/>
          <w:sz w:val="24"/>
          <w:szCs w:val="24"/>
        </w:rPr>
        <w:t xml:space="preserve"> is the proportion of age-</w:t>
      </w:r>
      <w:r w:rsidRPr="00BB3D6B">
        <w:rPr>
          <w:rFonts w:ascii="Times New Roman" w:hAnsi="Times New Roman" w:cs="Times New Roman"/>
          <w:i/>
          <w:iCs/>
          <w:sz w:val="24"/>
          <w:szCs w:val="24"/>
        </w:rPr>
        <w:t>a</w:t>
      </w:r>
      <w:r w:rsidRPr="00BB3D6B">
        <w:rPr>
          <w:rFonts w:ascii="Times New Roman" w:hAnsi="Times New Roman" w:cs="Times New Roman"/>
          <w:sz w:val="24"/>
          <w:szCs w:val="24"/>
        </w:rPr>
        <w:t xml:space="preserve"> fish at a given length in area </w:t>
      </w:r>
      <w:proofErr w:type="spellStart"/>
      <w:r w:rsidRPr="00BB3D6B">
        <w:rPr>
          <w:rFonts w:ascii="Times New Roman" w:hAnsi="Times New Roman" w:cs="Times New Roman"/>
          <w:i/>
          <w:iCs/>
          <w:sz w:val="24"/>
          <w:szCs w:val="24"/>
        </w:rPr>
        <w:t>area</w:t>
      </w:r>
      <w:proofErr w:type="spellEnd"/>
      <w:r w:rsidRPr="00BB3D6B">
        <w:rPr>
          <w:rFonts w:ascii="Times New Roman" w:hAnsi="Times New Roman" w:cs="Times New Roman"/>
          <w:i/>
          <w:iCs/>
          <w:sz w:val="24"/>
          <w:szCs w:val="24"/>
        </w:rPr>
        <w:t xml:space="preserve"> </w:t>
      </w:r>
      <w:r w:rsidRPr="00BB3D6B">
        <w:rPr>
          <w:rFonts w:ascii="Times New Roman" w:hAnsi="Times New Roman" w:cs="Times New Roman"/>
          <w:sz w:val="24"/>
          <w:szCs w:val="24"/>
        </w:rPr>
        <w:t>(</w:t>
      </w:r>
      <w:r w:rsidRPr="00BB3D6B">
        <w:rPr>
          <w:rFonts w:ascii="Times New Roman" w:hAnsi="Times New Roman" w:cs="Times New Roman"/>
          <w:i/>
          <w:iCs/>
          <w:sz w:val="24"/>
          <w:szCs w:val="24"/>
        </w:rPr>
        <w:t>i.e.</w:t>
      </w:r>
      <w:r w:rsidRPr="00BB3D6B">
        <w:rPr>
          <w:rFonts w:ascii="Times New Roman" w:hAnsi="Times New Roman" w:cs="Times New Roman"/>
          <w:sz w:val="24"/>
          <w:szCs w:val="24"/>
        </w:rPr>
        <w:t>, Age-Length-Key).</w:t>
      </w:r>
    </w:p>
    <w:p w14:paraId="29466348" w14:textId="4F653B1C" w:rsidR="008E1E4D" w:rsidRPr="00BB3D6B" w:rsidRDefault="008E1E4D" w:rsidP="008E1E4D">
      <w:pPr>
        <w:ind w:firstLine="840"/>
        <w:rPr>
          <w:rFonts w:ascii="Times New Roman" w:hAnsi="Times New Roman" w:cs="Times New Roman"/>
          <w:sz w:val="24"/>
          <w:szCs w:val="24"/>
        </w:rPr>
      </w:pPr>
      <w:r w:rsidRPr="00BB3D6B">
        <w:rPr>
          <w:rFonts w:ascii="Times New Roman" w:hAnsi="Times New Roman" w:cs="Times New Roman"/>
          <w:sz w:val="24"/>
          <w:szCs w:val="24"/>
        </w:rPr>
        <w:t xml:space="preserve">In the Japanese domestic stock assessment, biological samples are collected annually from each prefecture, and prefecture-specific length–weight relationships are estimated. Using the estimated length–weight relationship, catch weight at length is calculated for each prefecture </w:t>
      </w:r>
      <w:proofErr w:type="gramStart"/>
      <w:r w:rsidRPr="00BB3D6B">
        <w:rPr>
          <w:rFonts w:ascii="Times New Roman" w:hAnsi="Times New Roman" w:cs="Times New Roman"/>
          <w:sz w:val="24"/>
          <w:szCs w:val="24"/>
        </w:rPr>
        <w:t>on a monthly basis</w:t>
      </w:r>
      <w:proofErr w:type="gramEnd"/>
      <w:r w:rsidRPr="00BB3D6B">
        <w:rPr>
          <w:rFonts w:ascii="Times New Roman" w:hAnsi="Times New Roman" w:cs="Times New Roman"/>
          <w:sz w:val="24"/>
          <w:szCs w:val="24"/>
        </w:rPr>
        <w:t xml:space="preserve">. Monthly Age–length keys (ALKs) is used for two areas; east of Shizuoka and west of Mie prefecture. The ALKs convert catch weight at length into catch </w:t>
      </w:r>
      <w:r w:rsidR="00393B2B" w:rsidRPr="00BB3D6B">
        <w:rPr>
          <w:rFonts w:ascii="Times New Roman" w:hAnsi="Times New Roman" w:cs="Times New Roman"/>
          <w:sz w:val="24"/>
          <w:szCs w:val="24"/>
        </w:rPr>
        <w:t xml:space="preserve">weight at age in </w:t>
      </w:r>
      <w:proofErr w:type="gramStart"/>
      <w:r w:rsidR="00393B2B" w:rsidRPr="00BB3D6B">
        <w:rPr>
          <w:rFonts w:ascii="Times New Roman" w:hAnsi="Times New Roman" w:cs="Times New Roman"/>
          <w:sz w:val="24"/>
          <w:szCs w:val="24"/>
        </w:rPr>
        <w:t>each length</w:t>
      </w:r>
      <w:proofErr w:type="gramEnd"/>
      <w:r w:rsidR="00393B2B" w:rsidRPr="00BB3D6B">
        <w:rPr>
          <w:rFonts w:ascii="Times New Roman" w:hAnsi="Times New Roman" w:cs="Times New Roman"/>
          <w:sz w:val="24"/>
          <w:szCs w:val="24"/>
        </w:rPr>
        <w:t xml:space="preserve"> class.</w:t>
      </w:r>
      <w:r w:rsidRPr="00BB3D6B">
        <w:rPr>
          <w:rFonts w:ascii="Times New Roman" w:hAnsi="Times New Roman" w:cs="Times New Roman"/>
          <w:sz w:val="24"/>
          <w:szCs w:val="24"/>
        </w:rPr>
        <w:t xml:space="preserve"> These estimates are aggregated to obtain catch weight at age, and annual mean weight at age is calculated by dividing catch weight at age by catch numbers at age.</w:t>
      </w:r>
    </w:p>
    <w:p w14:paraId="0C5B839F" w14:textId="0621373B" w:rsidR="008E1E4D" w:rsidRPr="00BB3D6B" w:rsidRDefault="008E1E4D" w:rsidP="00BB3D6B">
      <w:pPr>
        <w:ind w:firstLine="840"/>
        <w:rPr>
          <w:rFonts w:ascii="Times New Roman" w:hAnsi="Times New Roman" w:cs="Times New Roman"/>
          <w:sz w:val="24"/>
          <w:szCs w:val="24"/>
        </w:rPr>
      </w:pPr>
      <w:proofErr w:type="gramStart"/>
      <w:r w:rsidRPr="00BB3D6B">
        <w:rPr>
          <w:rFonts w:ascii="Times New Roman" w:hAnsi="Times New Roman" w:cs="Times New Roman"/>
          <w:sz w:val="24"/>
          <w:szCs w:val="24"/>
        </w:rPr>
        <w:t xml:space="preserve">For </w:t>
      </w:r>
      <w:r w:rsidR="00393B2B" w:rsidRPr="00BB3D6B">
        <w:rPr>
          <w:rFonts w:ascii="Times New Roman" w:hAnsi="Times New Roman" w:cs="Times New Roman"/>
          <w:sz w:val="24"/>
          <w:szCs w:val="24"/>
        </w:rPr>
        <w:t xml:space="preserve">the </w:t>
      </w:r>
      <w:r w:rsidRPr="00BB3D6B">
        <w:rPr>
          <w:rFonts w:ascii="Times New Roman" w:hAnsi="Times New Roman" w:cs="Times New Roman"/>
          <w:sz w:val="24"/>
          <w:szCs w:val="24"/>
        </w:rPr>
        <w:t>purpose</w:t>
      </w:r>
      <w:r w:rsidR="00393B2B" w:rsidRPr="00BB3D6B">
        <w:rPr>
          <w:rFonts w:ascii="Times New Roman" w:hAnsi="Times New Roman" w:cs="Times New Roman"/>
          <w:sz w:val="24"/>
          <w:szCs w:val="24"/>
        </w:rPr>
        <w:t xml:space="preserve"> of</w:t>
      </w:r>
      <w:proofErr w:type="gramEnd"/>
      <w:r w:rsidR="00393B2B" w:rsidRPr="00BB3D6B">
        <w:rPr>
          <w:rFonts w:ascii="Times New Roman" w:hAnsi="Times New Roman" w:cs="Times New Roman"/>
          <w:sz w:val="24"/>
          <w:szCs w:val="24"/>
        </w:rPr>
        <w:t xml:space="preserve"> domestic stock assessment</w:t>
      </w:r>
      <w:r w:rsidRPr="00BB3D6B">
        <w:rPr>
          <w:rFonts w:ascii="Times New Roman" w:hAnsi="Times New Roman" w:cs="Times New Roman"/>
          <w:sz w:val="24"/>
          <w:szCs w:val="24"/>
        </w:rPr>
        <w:t>, catch weight at age and catch numbers at age estimated for Russian and Chinese fisheries are added to the Japanese estimates, and mean weight at age is then calculated for the entire stock. T</w:t>
      </w:r>
      <w:r w:rsidR="00393B2B" w:rsidRPr="00BB3D6B">
        <w:rPr>
          <w:rFonts w:ascii="Times New Roman" w:hAnsi="Times New Roman" w:cs="Times New Roman"/>
          <w:sz w:val="24"/>
          <w:szCs w:val="24"/>
        </w:rPr>
        <w:t>he calculated weight-at-age</w:t>
      </w:r>
      <w:r w:rsidRPr="00BB3D6B">
        <w:rPr>
          <w:rFonts w:ascii="Times New Roman" w:hAnsi="Times New Roman" w:cs="Times New Roman"/>
          <w:sz w:val="24"/>
          <w:szCs w:val="24"/>
        </w:rPr>
        <w:t xml:space="preserve"> are presented in Table 2 and Figure 2.</w:t>
      </w:r>
    </w:p>
    <w:p w14:paraId="649F7433" w14:textId="212557FF" w:rsidR="008E1E4D" w:rsidRPr="00BB3D6B" w:rsidRDefault="008E1E4D" w:rsidP="00BB3D6B">
      <w:pPr>
        <w:ind w:firstLine="840"/>
        <w:rPr>
          <w:rFonts w:ascii="Times New Roman" w:hAnsi="Times New Roman" w:cs="Times New Roman"/>
          <w:sz w:val="24"/>
          <w:szCs w:val="24"/>
        </w:rPr>
      </w:pPr>
      <w:r w:rsidRPr="00BB3D6B">
        <w:rPr>
          <w:rFonts w:ascii="Times New Roman" w:hAnsi="Times New Roman" w:cs="Times New Roman"/>
          <w:sz w:val="24"/>
          <w:szCs w:val="24"/>
        </w:rPr>
        <w:t>Mean weight at age in 2024 was lower than th</w:t>
      </w:r>
      <w:r w:rsidR="00393B2B" w:rsidRPr="00BB3D6B">
        <w:rPr>
          <w:rFonts w:ascii="Times New Roman" w:hAnsi="Times New Roman" w:cs="Times New Roman"/>
          <w:sz w:val="24"/>
          <w:szCs w:val="24"/>
        </w:rPr>
        <w:t xml:space="preserve">at of </w:t>
      </w:r>
      <w:r w:rsidRPr="00BB3D6B">
        <w:rPr>
          <w:rFonts w:ascii="Times New Roman" w:hAnsi="Times New Roman" w:cs="Times New Roman"/>
          <w:sz w:val="24"/>
          <w:szCs w:val="24"/>
        </w:rPr>
        <w:t>2014–2023 for fish aged two years and older, indicating a recent decline in body size. This pattern is consistent with the decrease in mean length</w:t>
      </w:r>
      <w:r w:rsidR="00393B2B" w:rsidRPr="00BB3D6B">
        <w:rPr>
          <w:rFonts w:ascii="Times New Roman" w:hAnsi="Times New Roman" w:cs="Times New Roman"/>
          <w:sz w:val="24"/>
          <w:szCs w:val="24"/>
        </w:rPr>
        <w:t>-</w:t>
      </w:r>
      <w:r w:rsidRPr="00BB3D6B">
        <w:rPr>
          <w:rFonts w:ascii="Times New Roman" w:hAnsi="Times New Roman" w:cs="Times New Roman"/>
          <w:sz w:val="24"/>
          <w:szCs w:val="24"/>
        </w:rPr>
        <w:t>at</w:t>
      </w:r>
      <w:r w:rsidR="00393B2B" w:rsidRPr="00BB3D6B">
        <w:rPr>
          <w:rFonts w:ascii="Times New Roman" w:hAnsi="Times New Roman" w:cs="Times New Roman"/>
          <w:sz w:val="24"/>
          <w:szCs w:val="24"/>
        </w:rPr>
        <w:t>-</w:t>
      </w:r>
      <w:r w:rsidRPr="00BB3D6B">
        <w:rPr>
          <w:rFonts w:ascii="Times New Roman" w:hAnsi="Times New Roman" w:cs="Times New Roman"/>
          <w:sz w:val="24"/>
          <w:szCs w:val="24"/>
        </w:rPr>
        <w:t>age shown in Figure 1.</w:t>
      </w:r>
      <w:r w:rsidR="00393B2B" w:rsidRPr="00BB3D6B">
        <w:rPr>
          <w:rFonts w:ascii="Times New Roman" w:hAnsi="Times New Roman" w:cs="Times New Roman"/>
          <w:sz w:val="24"/>
          <w:szCs w:val="24"/>
        </w:rPr>
        <w:t xml:space="preserve"> Likewise, f</w:t>
      </w:r>
      <w:r w:rsidRPr="00BB3D6B">
        <w:rPr>
          <w:rFonts w:ascii="Times New Roman" w:hAnsi="Times New Roman" w:cs="Times New Roman"/>
          <w:sz w:val="24"/>
          <w:szCs w:val="24"/>
        </w:rPr>
        <w:t>igure 3 shows historical changes in mean weight</w:t>
      </w:r>
      <w:r w:rsidR="00393B2B" w:rsidRPr="00BB3D6B">
        <w:rPr>
          <w:rFonts w:ascii="Times New Roman" w:hAnsi="Times New Roman" w:cs="Times New Roman"/>
          <w:sz w:val="24"/>
          <w:szCs w:val="24"/>
        </w:rPr>
        <w:t>-</w:t>
      </w:r>
      <w:r w:rsidRPr="00BB3D6B">
        <w:rPr>
          <w:rFonts w:ascii="Times New Roman" w:hAnsi="Times New Roman" w:cs="Times New Roman"/>
          <w:sz w:val="24"/>
          <w:szCs w:val="24"/>
        </w:rPr>
        <w:t>at</w:t>
      </w:r>
      <w:r w:rsidR="00393B2B" w:rsidRPr="00BB3D6B">
        <w:rPr>
          <w:rFonts w:ascii="Times New Roman" w:hAnsi="Times New Roman" w:cs="Times New Roman"/>
          <w:sz w:val="24"/>
          <w:szCs w:val="24"/>
        </w:rPr>
        <w:t>-</w:t>
      </w:r>
      <w:r w:rsidRPr="00BB3D6B">
        <w:rPr>
          <w:rFonts w:ascii="Times New Roman" w:hAnsi="Times New Roman" w:cs="Times New Roman"/>
          <w:sz w:val="24"/>
          <w:szCs w:val="24"/>
        </w:rPr>
        <w:t>age by year class from 1975 to 2024. Mean weight</w:t>
      </w:r>
      <w:r w:rsidR="00393B2B" w:rsidRPr="00BB3D6B">
        <w:rPr>
          <w:rFonts w:ascii="Times New Roman" w:hAnsi="Times New Roman" w:cs="Times New Roman"/>
          <w:sz w:val="24"/>
          <w:szCs w:val="24"/>
        </w:rPr>
        <w:t>-</w:t>
      </w:r>
      <w:r w:rsidRPr="00BB3D6B">
        <w:rPr>
          <w:rFonts w:ascii="Times New Roman" w:hAnsi="Times New Roman" w:cs="Times New Roman"/>
          <w:sz w:val="24"/>
          <w:szCs w:val="24"/>
        </w:rPr>
        <w:t>at</w:t>
      </w:r>
      <w:r w:rsidR="00393B2B" w:rsidRPr="00BB3D6B">
        <w:rPr>
          <w:rFonts w:ascii="Times New Roman" w:hAnsi="Times New Roman" w:cs="Times New Roman"/>
          <w:sz w:val="24"/>
          <w:szCs w:val="24"/>
        </w:rPr>
        <w:t>-</w:t>
      </w:r>
      <w:r w:rsidRPr="00BB3D6B">
        <w:rPr>
          <w:rFonts w:ascii="Times New Roman" w:hAnsi="Times New Roman" w:cs="Times New Roman"/>
          <w:sz w:val="24"/>
          <w:szCs w:val="24"/>
        </w:rPr>
        <w:t>age was relatively low during the 1980s, when stock abundance was high. This pattern is consistent with the relationship between stock abundance and growth reported by Kamimura et al. (2022), suggesting that growth of Japanese sardine is influenced by stock density.</w:t>
      </w:r>
    </w:p>
    <w:p w14:paraId="35B651C5" w14:textId="77777777" w:rsidR="008E1E4D" w:rsidRPr="00BB3D6B" w:rsidRDefault="008E1E4D" w:rsidP="0071701B">
      <w:pPr>
        <w:rPr>
          <w:rFonts w:ascii="Times New Roman" w:hAnsi="Times New Roman" w:cs="Times New Roman"/>
          <w:sz w:val="24"/>
          <w:szCs w:val="24"/>
        </w:rPr>
      </w:pPr>
    </w:p>
    <w:p w14:paraId="0E3DAB61" w14:textId="04073DA0" w:rsidR="00393B2B" w:rsidRPr="00BB3D6B" w:rsidRDefault="00393B2B" w:rsidP="0071701B">
      <w:pPr>
        <w:rPr>
          <w:rFonts w:ascii="Times New Roman" w:hAnsi="Times New Roman" w:cs="Times New Roman"/>
          <w:b/>
          <w:bCs/>
          <w:sz w:val="24"/>
          <w:szCs w:val="24"/>
        </w:rPr>
      </w:pPr>
      <w:r w:rsidRPr="00BB3D6B">
        <w:rPr>
          <w:rFonts w:ascii="Times New Roman" w:hAnsi="Times New Roman" w:cs="Times New Roman"/>
          <w:b/>
          <w:bCs/>
          <w:sz w:val="24"/>
          <w:szCs w:val="24"/>
        </w:rPr>
        <w:t>Natural mortality</w:t>
      </w:r>
      <w:r w:rsidR="00507BFD" w:rsidRPr="00BB3D6B">
        <w:rPr>
          <w:rFonts w:ascii="Times New Roman" w:hAnsi="Times New Roman" w:cs="Times New Roman"/>
          <w:b/>
          <w:bCs/>
          <w:sz w:val="24"/>
          <w:szCs w:val="24"/>
        </w:rPr>
        <w:t>-</w:t>
      </w:r>
      <w:r w:rsidRPr="00BB3D6B">
        <w:rPr>
          <w:rFonts w:ascii="Times New Roman" w:hAnsi="Times New Roman" w:cs="Times New Roman"/>
          <w:b/>
          <w:bCs/>
          <w:sz w:val="24"/>
          <w:szCs w:val="24"/>
        </w:rPr>
        <w:t>at</w:t>
      </w:r>
      <w:r w:rsidR="00507BFD" w:rsidRPr="00BB3D6B">
        <w:rPr>
          <w:rFonts w:ascii="Times New Roman" w:hAnsi="Times New Roman" w:cs="Times New Roman"/>
          <w:b/>
          <w:bCs/>
          <w:sz w:val="24"/>
          <w:szCs w:val="24"/>
        </w:rPr>
        <w:t>-A</w:t>
      </w:r>
      <w:r w:rsidRPr="00BB3D6B">
        <w:rPr>
          <w:rFonts w:ascii="Times New Roman" w:hAnsi="Times New Roman" w:cs="Times New Roman"/>
          <w:b/>
          <w:bCs/>
          <w:sz w:val="24"/>
          <w:szCs w:val="24"/>
        </w:rPr>
        <w:t>ge</w:t>
      </w:r>
    </w:p>
    <w:p w14:paraId="36E2652B" w14:textId="5F3E37D9" w:rsidR="00393B2B" w:rsidRPr="00BB3D6B" w:rsidRDefault="00393B2B" w:rsidP="00BB3D6B">
      <w:pPr>
        <w:ind w:firstLine="840"/>
        <w:rPr>
          <w:rFonts w:ascii="Times New Roman" w:hAnsi="Times New Roman" w:cs="Times New Roman"/>
          <w:sz w:val="24"/>
          <w:szCs w:val="24"/>
        </w:rPr>
      </w:pPr>
      <w:r w:rsidRPr="00BB3D6B">
        <w:rPr>
          <w:rFonts w:ascii="Times New Roman" w:hAnsi="Times New Roman" w:cs="Times New Roman"/>
          <w:sz w:val="24"/>
          <w:szCs w:val="24"/>
        </w:rPr>
        <w:t>The Japanese domestic stock assessment estimates the natural mortality using the estimator by Tanaka (1960), which Tanaka model relates longevity to the natural mortality where M=2.5/longevity, hence greater the longevity, lower the natural mortality coefficient. The longevity of Japanese sardine is estimated as 7 years based on catch observation (Furuichi et al. 2026) and M is estimated to be 0.4/year. In the domestic stock assessment, neither age dependent nor time variable are considered.</w:t>
      </w:r>
    </w:p>
    <w:p w14:paraId="6BC42DC6" w14:textId="77777777" w:rsidR="00393B2B" w:rsidRPr="00BB3D6B" w:rsidRDefault="00393B2B" w:rsidP="0071701B">
      <w:pPr>
        <w:rPr>
          <w:rFonts w:ascii="Times New Roman" w:hAnsi="Times New Roman" w:cs="Times New Roman"/>
          <w:sz w:val="24"/>
          <w:szCs w:val="24"/>
        </w:rPr>
      </w:pPr>
    </w:p>
    <w:p w14:paraId="6C5E596B" w14:textId="07CFD4BF" w:rsidR="00393B2B" w:rsidRPr="00BB3D6B" w:rsidRDefault="00393B2B" w:rsidP="00BB3D6B">
      <w:pPr>
        <w:widowControl/>
        <w:jc w:val="left"/>
        <w:rPr>
          <w:rFonts w:ascii="Times New Roman" w:hAnsi="Times New Roman" w:cs="Times New Roman"/>
          <w:sz w:val="24"/>
          <w:szCs w:val="24"/>
        </w:rPr>
      </w:pPr>
      <w:r w:rsidRPr="00BB3D6B">
        <w:rPr>
          <w:rFonts w:ascii="Times New Roman" w:hAnsi="Times New Roman" w:cs="Times New Roman"/>
          <w:b/>
          <w:bCs/>
          <w:sz w:val="24"/>
          <w:szCs w:val="24"/>
        </w:rPr>
        <w:t>Maturity</w:t>
      </w:r>
      <w:r w:rsidR="00507BFD" w:rsidRPr="00BB3D6B">
        <w:rPr>
          <w:rFonts w:ascii="Times New Roman" w:hAnsi="Times New Roman" w:cs="Times New Roman"/>
          <w:b/>
          <w:bCs/>
          <w:sz w:val="24"/>
          <w:szCs w:val="24"/>
        </w:rPr>
        <w:t>-</w:t>
      </w:r>
      <w:r w:rsidRPr="00BB3D6B">
        <w:rPr>
          <w:rFonts w:ascii="Times New Roman" w:hAnsi="Times New Roman" w:cs="Times New Roman"/>
          <w:b/>
          <w:bCs/>
          <w:sz w:val="24"/>
          <w:szCs w:val="24"/>
        </w:rPr>
        <w:t>at-Age</w:t>
      </w:r>
    </w:p>
    <w:p w14:paraId="03C68D62" w14:textId="19BEFCC2" w:rsidR="00393B2B" w:rsidRPr="00BB3D6B" w:rsidRDefault="00BF7484" w:rsidP="00BB3D6B">
      <w:pPr>
        <w:ind w:firstLine="840"/>
        <w:rPr>
          <w:rFonts w:ascii="Times New Roman" w:hAnsi="Times New Roman" w:cs="Times New Roman"/>
          <w:sz w:val="24"/>
          <w:szCs w:val="24"/>
        </w:rPr>
      </w:pPr>
      <w:r>
        <w:rPr>
          <w:rFonts w:ascii="Times New Roman" w:hAnsi="Times New Roman" w:cs="Times New Roman" w:hint="eastAsia"/>
          <w:sz w:val="24"/>
          <w:szCs w:val="24"/>
        </w:rPr>
        <w:t>M</w:t>
      </w:r>
      <w:r w:rsidR="00393B2B" w:rsidRPr="00BB3D6B">
        <w:rPr>
          <w:rFonts w:ascii="Times New Roman" w:hAnsi="Times New Roman" w:cs="Times New Roman"/>
          <w:sz w:val="24"/>
          <w:szCs w:val="24"/>
        </w:rPr>
        <w:t xml:space="preserve">aturity-at-age currently used in the Japanese domestic stock assessment are presented in Table 3 and Figure 4. The maturity schedule of Japanese sardine is known to vary in response to density-dependent effects (Morimoto, 2010; Kamimura et al., 2022). </w:t>
      </w:r>
      <w:r w:rsidR="00393B2B" w:rsidRPr="00BB3D6B">
        <w:rPr>
          <w:rFonts w:ascii="Times New Roman" w:hAnsi="Times New Roman" w:cs="Times New Roman"/>
          <w:sz w:val="24"/>
          <w:szCs w:val="24"/>
        </w:rPr>
        <w:lastRenderedPageBreak/>
        <w:t>During periods of high stock abundance, growth rates declined and maturation was delayed</w:t>
      </w:r>
      <w:r w:rsidR="0080662F" w:rsidRPr="00BB3D6B">
        <w:rPr>
          <w:rFonts w:ascii="Times New Roman" w:hAnsi="Times New Roman" w:cs="Times New Roman"/>
          <w:sz w:val="24"/>
          <w:szCs w:val="24"/>
        </w:rPr>
        <w:t xml:space="preserve">, however, </w:t>
      </w:r>
      <w:r w:rsidR="00393B2B" w:rsidRPr="00BB3D6B">
        <w:rPr>
          <w:rFonts w:ascii="Times New Roman" w:hAnsi="Times New Roman" w:cs="Times New Roman"/>
          <w:sz w:val="24"/>
          <w:szCs w:val="24"/>
        </w:rPr>
        <w:t>during the period of low stock abundance after the late 1990s, maturation typically began at age</w:t>
      </w:r>
      <w:r w:rsidR="0080662F" w:rsidRPr="00BB3D6B">
        <w:rPr>
          <w:rFonts w:ascii="Times New Roman" w:hAnsi="Times New Roman" w:cs="Times New Roman"/>
          <w:sz w:val="24"/>
          <w:szCs w:val="24"/>
        </w:rPr>
        <w:t>-</w:t>
      </w:r>
      <w:r w:rsidR="00393B2B" w:rsidRPr="00BB3D6B">
        <w:rPr>
          <w:rFonts w:ascii="Times New Roman" w:hAnsi="Times New Roman" w:cs="Times New Roman"/>
          <w:sz w:val="24"/>
          <w:szCs w:val="24"/>
        </w:rPr>
        <w:t>1, and most individuals were mature by age</w:t>
      </w:r>
      <w:r w:rsidR="0080662F" w:rsidRPr="00BB3D6B">
        <w:rPr>
          <w:rFonts w:ascii="Times New Roman" w:hAnsi="Times New Roman" w:cs="Times New Roman"/>
          <w:sz w:val="24"/>
          <w:szCs w:val="24"/>
        </w:rPr>
        <w:t>-</w:t>
      </w:r>
      <w:r w:rsidR="00393B2B" w:rsidRPr="00BB3D6B">
        <w:rPr>
          <w:rFonts w:ascii="Times New Roman" w:hAnsi="Times New Roman" w:cs="Times New Roman"/>
          <w:sz w:val="24"/>
          <w:szCs w:val="24"/>
        </w:rPr>
        <w:t>2.</w:t>
      </w:r>
    </w:p>
    <w:p w14:paraId="4B342C9C" w14:textId="09EDF98D" w:rsidR="00393B2B" w:rsidRPr="00BB3D6B" w:rsidRDefault="00393B2B" w:rsidP="00BB3D6B">
      <w:pPr>
        <w:ind w:firstLine="840"/>
        <w:rPr>
          <w:rFonts w:ascii="Times New Roman" w:hAnsi="Times New Roman" w:cs="Times New Roman"/>
          <w:sz w:val="24"/>
          <w:szCs w:val="24"/>
        </w:rPr>
      </w:pPr>
      <w:r w:rsidRPr="00BB3D6B">
        <w:rPr>
          <w:rFonts w:ascii="Times New Roman" w:hAnsi="Times New Roman" w:cs="Times New Roman"/>
          <w:sz w:val="24"/>
          <w:szCs w:val="24"/>
        </w:rPr>
        <w:t>As shown in Table 3, the maturity schedule applied during the period of low stock abundance (1998–2015) assumes a maturity rate of 50% at age</w:t>
      </w:r>
      <w:r w:rsidR="0080662F" w:rsidRPr="00BB3D6B">
        <w:rPr>
          <w:rFonts w:ascii="Times New Roman" w:hAnsi="Times New Roman" w:cs="Times New Roman"/>
          <w:sz w:val="24"/>
          <w:szCs w:val="24"/>
        </w:rPr>
        <w:t>-</w:t>
      </w:r>
      <w:r w:rsidRPr="00BB3D6B">
        <w:rPr>
          <w:rFonts w:ascii="Times New Roman" w:hAnsi="Times New Roman" w:cs="Times New Roman"/>
          <w:sz w:val="24"/>
          <w:szCs w:val="24"/>
        </w:rPr>
        <w:t>1 and 100% at age</w:t>
      </w:r>
      <w:r w:rsidR="0080662F" w:rsidRPr="00BB3D6B">
        <w:rPr>
          <w:rFonts w:ascii="Times New Roman" w:hAnsi="Times New Roman" w:cs="Times New Roman"/>
          <w:sz w:val="24"/>
          <w:szCs w:val="24"/>
        </w:rPr>
        <w:t>-</w:t>
      </w:r>
      <w:r w:rsidRPr="00BB3D6B">
        <w:rPr>
          <w:rFonts w:ascii="Times New Roman" w:hAnsi="Times New Roman" w:cs="Times New Roman"/>
          <w:sz w:val="24"/>
          <w:szCs w:val="24"/>
        </w:rPr>
        <w:t>2 and older. For years since 2016, the age-specific maturity rates have been set at 20% for age</w:t>
      </w:r>
      <w:r w:rsidR="0080662F" w:rsidRPr="00BB3D6B">
        <w:rPr>
          <w:rFonts w:ascii="Times New Roman" w:hAnsi="Times New Roman" w:cs="Times New Roman"/>
          <w:sz w:val="24"/>
          <w:szCs w:val="24"/>
        </w:rPr>
        <w:t>-</w:t>
      </w:r>
      <w:r w:rsidRPr="00BB3D6B">
        <w:rPr>
          <w:rFonts w:ascii="Times New Roman" w:hAnsi="Times New Roman" w:cs="Times New Roman"/>
          <w:sz w:val="24"/>
          <w:szCs w:val="24"/>
        </w:rPr>
        <w:t>1 and 100% for age 2</w:t>
      </w:r>
      <w:r w:rsidR="0080662F" w:rsidRPr="00BB3D6B">
        <w:rPr>
          <w:rFonts w:ascii="Times New Roman" w:hAnsi="Times New Roman" w:cs="Times New Roman"/>
          <w:sz w:val="24"/>
          <w:szCs w:val="24"/>
        </w:rPr>
        <w:t>-</w:t>
      </w:r>
      <w:r w:rsidRPr="00BB3D6B">
        <w:rPr>
          <w:rFonts w:ascii="Times New Roman" w:hAnsi="Times New Roman" w:cs="Times New Roman"/>
          <w:sz w:val="24"/>
          <w:szCs w:val="24"/>
        </w:rPr>
        <w:t xml:space="preserve">and older, </w:t>
      </w:r>
      <w:proofErr w:type="gramStart"/>
      <w:r w:rsidRPr="00BB3D6B">
        <w:rPr>
          <w:rFonts w:ascii="Times New Roman" w:hAnsi="Times New Roman" w:cs="Times New Roman"/>
          <w:sz w:val="24"/>
          <w:szCs w:val="24"/>
        </w:rPr>
        <w:t>taking into account</w:t>
      </w:r>
      <w:proofErr w:type="gramEnd"/>
      <w:r w:rsidRPr="00BB3D6B">
        <w:rPr>
          <w:rFonts w:ascii="Times New Roman" w:hAnsi="Times New Roman" w:cs="Times New Roman"/>
          <w:sz w:val="24"/>
          <w:szCs w:val="24"/>
        </w:rPr>
        <w:t xml:space="preserve"> the recent increase in stock abundance. This maturity schedule </w:t>
      </w:r>
      <w:proofErr w:type="gramStart"/>
      <w:r w:rsidRPr="00BB3D6B">
        <w:rPr>
          <w:rFonts w:ascii="Times New Roman" w:hAnsi="Times New Roman" w:cs="Times New Roman"/>
          <w:sz w:val="24"/>
          <w:szCs w:val="24"/>
        </w:rPr>
        <w:t>is based on the assumption</w:t>
      </w:r>
      <w:proofErr w:type="gramEnd"/>
      <w:r w:rsidRPr="00BB3D6B">
        <w:rPr>
          <w:rFonts w:ascii="Times New Roman" w:hAnsi="Times New Roman" w:cs="Times New Roman"/>
          <w:sz w:val="24"/>
          <w:szCs w:val="24"/>
        </w:rPr>
        <w:t xml:space="preserve"> that spawning stock biomass since 2016 has been comparable to the levels observed during 1994–1997, when the stock temporarily recovered following the regime shift. However, mean weight</w:t>
      </w:r>
      <w:r w:rsidR="0080662F" w:rsidRPr="00BB3D6B">
        <w:rPr>
          <w:rFonts w:ascii="Times New Roman" w:hAnsi="Times New Roman" w:cs="Times New Roman"/>
          <w:sz w:val="24"/>
          <w:szCs w:val="24"/>
        </w:rPr>
        <w:t>-</w:t>
      </w:r>
      <w:r w:rsidRPr="00BB3D6B">
        <w:rPr>
          <w:rFonts w:ascii="Times New Roman" w:hAnsi="Times New Roman" w:cs="Times New Roman"/>
          <w:sz w:val="24"/>
          <w:szCs w:val="24"/>
        </w:rPr>
        <w:t>at</w:t>
      </w:r>
      <w:r w:rsidR="0080662F" w:rsidRPr="00BB3D6B">
        <w:rPr>
          <w:rFonts w:ascii="Times New Roman" w:hAnsi="Times New Roman" w:cs="Times New Roman"/>
          <w:sz w:val="24"/>
          <w:szCs w:val="24"/>
        </w:rPr>
        <w:t>-</w:t>
      </w:r>
      <w:r w:rsidRPr="00BB3D6B">
        <w:rPr>
          <w:rFonts w:ascii="Times New Roman" w:hAnsi="Times New Roman" w:cs="Times New Roman"/>
          <w:sz w:val="24"/>
          <w:szCs w:val="24"/>
        </w:rPr>
        <w:t>age has shown a declining trend since 2018, suggesting that maturity rates may also have decreased in recent years.</w:t>
      </w:r>
    </w:p>
    <w:p w14:paraId="21486260" w14:textId="05E3D3E9" w:rsidR="00393B2B" w:rsidRPr="00BB3D6B" w:rsidRDefault="00393B2B" w:rsidP="00BB3D6B">
      <w:pPr>
        <w:ind w:firstLine="840"/>
        <w:rPr>
          <w:rFonts w:ascii="Times New Roman" w:hAnsi="Times New Roman" w:cs="Times New Roman"/>
          <w:sz w:val="24"/>
          <w:szCs w:val="24"/>
        </w:rPr>
      </w:pPr>
      <w:r w:rsidRPr="00BB3D6B">
        <w:rPr>
          <w:rFonts w:ascii="Times New Roman" w:hAnsi="Times New Roman" w:cs="Times New Roman"/>
          <w:sz w:val="24"/>
          <w:szCs w:val="24"/>
        </w:rPr>
        <w:t xml:space="preserve">Previous studies have reported age-1 maturation during periods of low stock abundance. Surveys conducted in Tosa Bay, which is considered a spawning ground of the coastal recruitment group, found evidence of maturation </w:t>
      </w:r>
      <w:r w:rsidR="0080662F" w:rsidRPr="00BB3D6B">
        <w:rPr>
          <w:rFonts w:ascii="Times New Roman" w:hAnsi="Times New Roman" w:cs="Times New Roman"/>
          <w:sz w:val="24"/>
          <w:szCs w:val="24"/>
        </w:rPr>
        <w:t>begins</w:t>
      </w:r>
      <w:r w:rsidRPr="00BB3D6B">
        <w:rPr>
          <w:rFonts w:ascii="Times New Roman" w:hAnsi="Times New Roman" w:cs="Times New Roman"/>
          <w:sz w:val="24"/>
          <w:szCs w:val="24"/>
        </w:rPr>
        <w:t xml:space="preserve"> at age 1 during 1999–2001 (Honda et al., 2002). Similar results were obtained from surveys conducted in the same area during 2008–2010, which also demonstrated maturation of age-1 fish (Yoneda et al., 2013).</w:t>
      </w:r>
    </w:p>
    <w:p w14:paraId="70F2B19F" w14:textId="77777777" w:rsidR="00393B2B" w:rsidRPr="00BB3D6B" w:rsidRDefault="00393B2B" w:rsidP="00BB3D6B">
      <w:pPr>
        <w:ind w:firstLine="840"/>
        <w:rPr>
          <w:rFonts w:ascii="Times New Roman" w:hAnsi="Times New Roman" w:cs="Times New Roman"/>
          <w:sz w:val="24"/>
          <w:szCs w:val="24"/>
        </w:rPr>
      </w:pPr>
      <w:r w:rsidRPr="00BB3D6B">
        <w:rPr>
          <w:rFonts w:ascii="Times New Roman" w:hAnsi="Times New Roman" w:cs="Times New Roman"/>
          <w:sz w:val="24"/>
          <w:szCs w:val="24"/>
        </w:rPr>
        <w:t xml:space="preserve">In contrast, Yukami et al. (2017), based on analyses of samples collected during 2014–2016, assumed that the reproductive condition of the stock from 2016 onward was comparable to that observed during the temporary stock recovery period of 1994–1997. Furthermore, that study showed that within the same age-1 cohort, the proportion of mature fish was lower in the offshore recruitment group than in the coastal recruitment </w:t>
      </w:r>
      <w:proofErr w:type="gramStart"/>
      <w:r w:rsidRPr="00BB3D6B">
        <w:rPr>
          <w:rFonts w:ascii="Times New Roman" w:hAnsi="Times New Roman" w:cs="Times New Roman"/>
          <w:sz w:val="24"/>
          <w:szCs w:val="24"/>
        </w:rPr>
        <w:t>group, and</w:t>
      </w:r>
      <w:proofErr w:type="gramEnd"/>
      <w:r w:rsidRPr="00BB3D6B">
        <w:rPr>
          <w:rFonts w:ascii="Times New Roman" w:hAnsi="Times New Roman" w:cs="Times New Roman"/>
          <w:sz w:val="24"/>
          <w:szCs w:val="24"/>
        </w:rPr>
        <w:t xml:space="preserve"> discussed differences in maturation patterns between the two recruitment pathways.</w:t>
      </w:r>
    </w:p>
    <w:p w14:paraId="68837A88" w14:textId="77777777" w:rsidR="00393B2B" w:rsidRPr="00BB3D6B" w:rsidRDefault="00393B2B" w:rsidP="00393B2B">
      <w:pPr>
        <w:rPr>
          <w:rFonts w:ascii="Times New Roman" w:hAnsi="Times New Roman" w:cs="Times New Roman"/>
          <w:sz w:val="24"/>
          <w:szCs w:val="24"/>
        </w:rPr>
      </w:pPr>
    </w:p>
    <w:p w14:paraId="6B0D13EB" w14:textId="77777777" w:rsidR="0080662F" w:rsidRPr="00BB3D6B" w:rsidRDefault="0080662F" w:rsidP="0080662F">
      <w:pPr>
        <w:rPr>
          <w:rFonts w:ascii="Times New Roman" w:hAnsi="Times New Roman" w:cs="Times New Roman"/>
          <w:b/>
          <w:bCs/>
          <w:sz w:val="24"/>
          <w:szCs w:val="24"/>
        </w:rPr>
      </w:pPr>
      <w:r w:rsidRPr="00BB3D6B">
        <w:rPr>
          <w:rFonts w:ascii="Times New Roman" w:hAnsi="Times New Roman" w:cs="Times New Roman"/>
          <w:b/>
          <w:bCs/>
          <w:sz w:val="24"/>
          <w:szCs w:val="24"/>
        </w:rPr>
        <w:t>Conclusion</w:t>
      </w:r>
    </w:p>
    <w:p w14:paraId="6FC21F18" w14:textId="77777777" w:rsidR="0080662F" w:rsidRPr="00BB3D6B" w:rsidRDefault="0080662F" w:rsidP="00BB3D6B">
      <w:pPr>
        <w:ind w:firstLine="840"/>
        <w:rPr>
          <w:rFonts w:ascii="Times New Roman" w:hAnsi="Times New Roman" w:cs="Times New Roman"/>
          <w:sz w:val="24"/>
          <w:szCs w:val="24"/>
        </w:rPr>
      </w:pPr>
      <w:r w:rsidRPr="00BB3D6B">
        <w:rPr>
          <w:rFonts w:ascii="Times New Roman" w:hAnsi="Times New Roman" w:cs="Times New Roman"/>
          <w:sz w:val="24"/>
          <w:szCs w:val="24"/>
        </w:rPr>
        <w:t>Recent increases in the abundance of Japanese sardine in the northwestern Pacific have been accompanied by changes in biological characteristics, including reduced growth, expansion of the distribution range, and potential shifts in maturation patterns. Mean length-at-age and mean weight-at-age have both shown declining trends in recent years, consistent with the strong density-dependent growth effects reported by Kamimura et al. (2022).</w:t>
      </w:r>
    </w:p>
    <w:p w14:paraId="5CC8A89F" w14:textId="13DD7DF9" w:rsidR="0080662F" w:rsidRDefault="0080662F" w:rsidP="0080662F">
      <w:pPr>
        <w:ind w:firstLine="840"/>
        <w:rPr>
          <w:rFonts w:ascii="Times New Roman" w:hAnsi="Times New Roman" w:cs="Times New Roman"/>
          <w:sz w:val="24"/>
          <w:szCs w:val="24"/>
        </w:rPr>
      </w:pPr>
      <w:r w:rsidRPr="00BB3D6B">
        <w:rPr>
          <w:rFonts w:ascii="Times New Roman" w:hAnsi="Times New Roman" w:cs="Times New Roman"/>
          <w:sz w:val="24"/>
          <w:szCs w:val="24"/>
        </w:rPr>
        <w:t xml:space="preserve">This document also summarizes the natural mortality coefficient and maturity-at-age currently used in the Japanese domestic stock assessment. Both natural mortality (M) and maturity-at-age are key parameters that can substantially influence stock </w:t>
      </w:r>
      <w:r w:rsidRPr="00BB3D6B">
        <w:rPr>
          <w:rFonts w:ascii="Times New Roman" w:hAnsi="Times New Roman" w:cs="Times New Roman"/>
          <w:sz w:val="24"/>
          <w:szCs w:val="24"/>
        </w:rPr>
        <w:lastRenderedPageBreak/>
        <w:t>assessment results. Therefore, continued evaluation and refinement of these parameters remain important for improving the accuracy of future stock assessments.</w:t>
      </w:r>
    </w:p>
    <w:p w14:paraId="63714E26" w14:textId="1AAE8B79" w:rsidR="00067228" w:rsidRPr="00BB3D6B" w:rsidRDefault="00067228" w:rsidP="00067228">
      <w:pPr>
        <w:rPr>
          <w:rFonts w:ascii="Times New Roman" w:hAnsi="Times New Roman" w:cs="Times New Roman"/>
          <w:b/>
          <w:bCs/>
          <w:sz w:val="24"/>
          <w:szCs w:val="28"/>
        </w:rPr>
      </w:pPr>
      <w:r w:rsidRPr="00BB3D6B">
        <w:rPr>
          <w:rFonts w:ascii="Times New Roman" w:hAnsi="Times New Roman" w:cs="Times New Roman"/>
          <w:b/>
          <w:bCs/>
          <w:sz w:val="24"/>
          <w:szCs w:val="28"/>
        </w:rPr>
        <w:t>Reference</w:t>
      </w:r>
      <w:r w:rsidRPr="00067228">
        <w:rPr>
          <w:rFonts w:ascii="Times New Roman" w:hAnsi="Times New Roman" w:cs="Times New Roman" w:hint="eastAsia"/>
          <w:b/>
          <w:bCs/>
          <w:sz w:val="24"/>
          <w:szCs w:val="28"/>
        </w:rPr>
        <w:t>s</w:t>
      </w:r>
    </w:p>
    <w:p w14:paraId="0CD0016B" w14:textId="77777777" w:rsidR="00067228" w:rsidRPr="00BB3D6B" w:rsidRDefault="00067228" w:rsidP="00067228">
      <w:pPr>
        <w:ind w:left="485" w:hangingChars="202" w:hanging="485"/>
        <w:rPr>
          <w:rFonts w:ascii="Times New Roman" w:hAnsi="Times New Roman" w:cs="Times New Roman"/>
          <w:sz w:val="24"/>
          <w:szCs w:val="28"/>
        </w:rPr>
      </w:pPr>
      <w:r w:rsidRPr="00BB3D6B">
        <w:rPr>
          <w:rFonts w:ascii="Times New Roman" w:hAnsi="Times New Roman" w:cs="Times New Roman"/>
          <w:sz w:val="24"/>
          <w:szCs w:val="28"/>
        </w:rPr>
        <w:t xml:space="preserve">Tanaka, S. (1960). Population Dynamics of aquatic organisms and fisheries resource management. </w:t>
      </w:r>
      <w:r w:rsidRPr="00BB3D6B">
        <w:rPr>
          <w:rFonts w:ascii="Times New Roman" w:hAnsi="Times New Roman" w:cs="Times New Roman"/>
          <w:i/>
          <w:iCs/>
          <w:sz w:val="24"/>
          <w:szCs w:val="28"/>
        </w:rPr>
        <w:t>Bull. Tokai Reg. Fish. Re. Lab.</w:t>
      </w:r>
      <w:r w:rsidRPr="00BB3D6B">
        <w:rPr>
          <w:rFonts w:ascii="Times New Roman" w:hAnsi="Times New Roman" w:cs="Times New Roman"/>
          <w:sz w:val="24"/>
          <w:szCs w:val="28"/>
        </w:rPr>
        <w:t xml:space="preserve"> 28, 1-200. (in Japanese)</w:t>
      </w:r>
    </w:p>
    <w:p w14:paraId="22D311C8" w14:textId="77777777" w:rsidR="00067228" w:rsidRPr="00BB3D6B" w:rsidRDefault="00067228" w:rsidP="00067228">
      <w:pPr>
        <w:ind w:left="485" w:hangingChars="202" w:hanging="485"/>
        <w:rPr>
          <w:rFonts w:ascii="Times New Roman" w:hAnsi="Times New Roman" w:cs="Times New Roman"/>
          <w:sz w:val="24"/>
          <w:szCs w:val="28"/>
        </w:rPr>
      </w:pPr>
      <w:r w:rsidRPr="00BB3D6B">
        <w:rPr>
          <w:rFonts w:ascii="Times New Roman" w:hAnsi="Times New Roman" w:cs="Times New Roman"/>
          <w:sz w:val="24"/>
          <w:szCs w:val="28"/>
        </w:rPr>
        <w:t xml:space="preserve">Ito, S. (1991) </w:t>
      </w:r>
      <w:r w:rsidRPr="00BB3D6B">
        <w:rPr>
          <w:rFonts w:ascii="Times New Roman" w:hAnsi="Times New Roman" w:cs="Times New Roman"/>
          <w:i/>
          <w:iCs/>
          <w:sz w:val="24"/>
          <w:szCs w:val="28"/>
        </w:rPr>
        <w:t xml:space="preserve">Nihon no </w:t>
      </w:r>
      <w:proofErr w:type="spellStart"/>
      <w:r w:rsidRPr="00BB3D6B">
        <w:rPr>
          <w:rFonts w:ascii="Times New Roman" w:hAnsi="Times New Roman" w:cs="Times New Roman"/>
          <w:i/>
          <w:iCs/>
          <w:sz w:val="24"/>
          <w:szCs w:val="28"/>
        </w:rPr>
        <w:t>maiwashi</w:t>
      </w:r>
      <w:proofErr w:type="spellEnd"/>
      <w:r w:rsidRPr="00BB3D6B">
        <w:rPr>
          <w:rFonts w:ascii="Times New Roman" w:hAnsi="Times New Roman" w:cs="Times New Roman"/>
          <w:i/>
          <w:iCs/>
          <w:sz w:val="24"/>
          <w:szCs w:val="28"/>
        </w:rPr>
        <w:t xml:space="preserve">: Sono </w:t>
      </w:r>
      <w:proofErr w:type="spellStart"/>
      <w:r w:rsidRPr="00BB3D6B">
        <w:rPr>
          <w:rFonts w:ascii="Times New Roman" w:hAnsi="Times New Roman" w:cs="Times New Roman"/>
          <w:i/>
          <w:iCs/>
          <w:sz w:val="24"/>
          <w:szCs w:val="28"/>
        </w:rPr>
        <w:t>seikatsu</w:t>
      </w:r>
      <w:proofErr w:type="spellEnd"/>
      <w:r w:rsidRPr="00BB3D6B">
        <w:rPr>
          <w:rFonts w:ascii="Times New Roman" w:hAnsi="Times New Roman" w:cs="Times New Roman"/>
          <w:i/>
          <w:iCs/>
          <w:sz w:val="24"/>
          <w:szCs w:val="28"/>
        </w:rPr>
        <w:t xml:space="preserve"> to </w:t>
      </w:r>
      <w:proofErr w:type="spellStart"/>
      <w:r w:rsidRPr="00BB3D6B">
        <w:rPr>
          <w:rFonts w:ascii="Times New Roman" w:hAnsi="Times New Roman" w:cs="Times New Roman"/>
          <w:i/>
          <w:iCs/>
          <w:sz w:val="24"/>
          <w:szCs w:val="28"/>
        </w:rPr>
        <w:t>shigen</w:t>
      </w:r>
      <w:proofErr w:type="spellEnd"/>
      <w:r w:rsidRPr="00BB3D6B">
        <w:rPr>
          <w:rFonts w:ascii="Times New Roman" w:hAnsi="Times New Roman" w:cs="Times New Roman"/>
          <w:sz w:val="24"/>
          <w:szCs w:val="28"/>
        </w:rPr>
        <w:t xml:space="preserve"> [Japanese sardines in Japan: Its life history and resources]. In S. Matsushita (Ed.) </w:t>
      </w:r>
      <w:proofErr w:type="spellStart"/>
      <w:r w:rsidRPr="00BB3D6B">
        <w:rPr>
          <w:rFonts w:ascii="Times New Roman" w:hAnsi="Times New Roman" w:cs="Times New Roman"/>
          <w:i/>
          <w:iCs/>
          <w:sz w:val="24"/>
          <w:szCs w:val="28"/>
        </w:rPr>
        <w:t>Gyoyu</w:t>
      </w:r>
      <w:proofErr w:type="spellEnd"/>
      <w:r w:rsidRPr="00BB3D6B">
        <w:rPr>
          <w:rFonts w:ascii="Times New Roman" w:hAnsi="Times New Roman" w:cs="Times New Roman"/>
          <w:i/>
          <w:iCs/>
          <w:sz w:val="24"/>
          <w:szCs w:val="28"/>
        </w:rPr>
        <w:t xml:space="preserve"> to </w:t>
      </w:r>
      <w:proofErr w:type="spellStart"/>
      <w:r w:rsidRPr="00BB3D6B">
        <w:rPr>
          <w:rFonts w:ascii="Times New Roman" w:hAnsi="Times New Roman" w:cs="Times New Roman"/>
          <w:i/>
          <w:iCs/>
          <w:sz w:val="24"/>
          <w:szCs w:val="28"/>
        </w:rPr>
        <w:t>maiwashi</w:t>
      </w:r>
      <w:proofErr w:type="spellEnd"/>
      <w:r w:rsidRPr="00BB3D6B">
        <w:rPr>
          <w:rFonts w:ascii="Times New Roman" w:hAnsi="Times New Roman" w:cs="Times New Roman"/>
          <w:i/>
          <w:iCs/>
          <w:sz w:val="24"/>
          <w:szCs w:val="28"/>
        </w:rPr>
        <w:t xml:space="preserve"> </w:t>
      </w:r>
      <w:r w:rsidRPr="00BB3D6B">
        <w:rPr>
          <w:rFonts w:ascii="Times New Roman" w:hAnsi="Times New Roman" w:cs="Times New Roman"/>
          <w:sz w:val="24"/>
          <w:szCs w:val="28"/>
        </w:rPr>
        <w:t xml:space="preserve">[Fish oil and Japanese sardine] (pp.191-255). </w:t>
      </w:r>
      <w:proofErr w:type="spellStart"/>
      <w:r w:rsidRPr="00BB3D6B">
        <w:rPr>
          <w:rFonts w:ascii="Times New Roman" w:hAnsi="Times New Roman" w:cs="Times New Roman"/>
          <w:sz w:val="24"/>
          <w:szCs w:val="28"/>
        </w:rPr>
        <w:t>Koseisha-Koseikaku</w:t>
      </w:r>
      <w:proofErr w:type="spellEnd"/>
      <w:r w:rsidRPr="00BB3D6B">
        <w:rPr>
          <w:rFonts w:ascii="Times New Roman" w:hAnsi="Times New Roman" w:cs="Times New Roman"/>
          <w:sz w:val="24"/>
          <w:szCs w:val="28"/>
        </w:rPr>
        <w:t>, Tokyo. [In Japanese]</w:t>
      </w:r>
    </w:p>
    <w:p w14:paraId="165DEA12" w14:textId="77777777" w:rsidR="00067228" w:rsidRPr="00BB3D6B" w:rsidRDefault="00067228" w:rsidP="00067228">
      <w:pPr>
        <w:ind w:left="485" w:hangingChars="202" w:hanging="485"/>
        <w:rPr>
          <w:rFonts w:ascii="Times New Roman" w:hAnsi="Times New Roman" w:cs="Times New Roman"/>
          <w:sz w:val="24"/>
          <w:szCs w:val="28"/>
        </w:rPr>
      </w:pPr>
      <w:r w:rsidRPr="00BB3D6B">
        <w:rPr>
          <w:rFonts w:ascii="Times New Roman" w:hAnsi="Times New Roman" w:cs="Times New Roman"/>
          <w:sz w:val="24"/>
          <w:szCs w:val="28"/>
        </w:rPr>
        <w:t>Kuroda K. (1991) Studies on the Recruitment Process Focusing on the Early Life History of the Japanese Sardine, Sardinops melanostictus (SCHLEGEL).  </w:t>
      </w:r>
      <w:r w:rsidRPr="00BB3D6B">
        <w:rPr>
          <w:rFonts w:ascii="Times New Roman" w:hAnsi="Times New Roman" w:cs="Times New Roman"/>
          <w:i/>
          <w:iCs/>
          <w:sz w:val="24"/>
          <w:szCs w:val="28"/>
        </w:rPr>
        <w:t>Bull. Natl. Res. Inst. Fish. Sci.</w:t>
      </w:r>
      <w:r w:rsidRPr="00BB3D6B">
        <w:rPr>
          <w:rFonts w:ascii="Times New Roman" w:hAnsi="Times New Roman" w:cs="Times New Roman"/>
          <w:sz w:val="24"/>
          <w:szCs w:val="28"/>
        </w:rPr>
        <w:t>, 3, 25-278. [In Japanese]</w:t>
      </w:r>
    </w:p>
    <w:p w14:paraId="2BE961CC" w14:textId="22FC39FA" w:rsidR="00067228" w:rsidRPr="00BB3D6B" w:rsidRDefault="00067228" w:rsidP="00067228">
      <w:pPr>
        <w:ind w:left="485" w:hangingChars="202" w:hanging="485"/>
        <w:rPr>
          <w:rFonts w:ascii="Times New Roman" w:hAnsi="Times New Roman" w:cs="Times New Roman"/>
          <w:sz w:val="24"/>
          <w:szCs w:val="28"/>
        </w:rPr>
      </w:pPr>
      <w:r w:rsidRPr="00BB3D6B">
        <w:rPr>
          <w:rFonts w:ascii="Times New Roman" w:hAnsi="Times New Roman" w:cs="Times New Roman"/>
          <w:sz w:val="24"/>
          <w:szCs w:val="28"/>
        </w:rPr>
        <w:t xml:space="preserve">Honda, H., M. Ishida, T. Mitani, S. Uehara, Y. Hirota, H. </w:t>
      </w:r>
      <w:proofErr w:type="spellStart"/>
      <w:r w:rsidRPr="00BB3D6B">
        <w:rPr>
          <w:rFonts w:ascii="Times New Roman" w:hAnsi="Times New Roman" w:cs="Times New Roman"/>
          <w:sz w:val="24"/>
          <w:szCs w:val="28"/>
        </w:rPr>
        <w:t>Sakaji</w:t>
      </w:r>
      <w:proofErr w:type="spellEnd"/>
      <w:r w:rsidRPr="00BB3D6B">
        <w:rPr>
          <w:rFonts w:ascii="Times New Roman" w:hAnsi="Times New Roman" w:cs="Times New Roman"/>
          <w:sz w:val="24"/>
          <w:szCs w:val="28"/>
        </w:rPr>
        <w:t xml:space="preserve">, K. Nashida, and H. Morimoto. (2002) Recent trends in age structures and maturity conditions of the Japanese sardine, Sardinops melanostictus, spawning in Tosa Bay. </w:t>
      </w:r>
      <w:r w:rsidRPr="00BB3D6B">
        <w:rPr>
          <w:rFonts w:ascii="Times New Roman" w:hAnsi="Times New Roman" w:cs="Times New Roman"/>
          <w:i/>
          <w:iCs/>
          <w:sz w:val="24"/>
          <w:szCs w:val="28"/>
        </w:rPr>
        <w:t>Fisheries Science</w:t>
      </w:r>
      <w:r w:rsidRPr="00BB3D6B">
        <w:rPr>
          <w:rFonts w:ascii="Times New Roman" w:hAnsi="Times New Roman" w:cs="Times New Roman"/>
          <w:sz w:val="24"/>
          <w:szCs w:val="28"/>
        </w:rPr>
        <w:t xml:space="preserve">, 68:1, 210-213. </w:t>
      </w:r>
      <w:hyperlink r:id="rId9" w:history="1">
        <w:r w:rsidRPr="00BB3D6B">
          <w:rPr>
            <w:rStyle w:val="Hyperlink"/>
            <w:rFonts w:ascii="Times New Roman" w:hAnsi="Times New Roman" w:cs="Times New Roman"/>
            <w:sz w:val="24"/>
            <w:szCs w:val="28"/>
          </w:rPr>
          <w:t>https://doi.org/10.2331/fishsci.68.sup1_210</w:t>
        </w:r>
      </w:hyperlink>
    </w:p>
    <w:p w14:paraId="33599DDC" w14:textId="77777777" w:rsidR="00067228" w:rsidRPr="00BB3D6B" w:rsidRDefault="00067228" w:rsidP="00067228">
      <w:pPr>
        <w:ind w:left="485" w:hangingChars="202" w:hanging="485"/>
        <w:rPr>
          <w:rFonts w:ascii="Times New Roman" w:hAnsi="Times New Roman" w:cs="Times New Roman"/>
          <w:sz w:val="24"/>
          <w:szCs w:val="28"/>
        </w:rPr>
      </w:pPr>
      <w:r w:rsidRPr="00BB3D6B">
        <w:rPr>
          <w:rFonts w:ascii="Times New Roman" w:hAnsi="Times New Roman" w:cs="Times New Roman"/>
          <w:sz w:val="24"/>
          <w:szCs w:val="28"/>
        </w:rPr>
        <w:t xml:space="preserve">Morimoto, H. (2010) Temporal and spatial changes in the reproductive characteristics of female Japanese sardine Sardinops melanostictus and their effects on the population </w:t>
      </w:r>
      <w:proofErr w:type="spellStart"/>
      <w:r w:rsidRPr="00BB3D6B">
        <w:rPr>
          <w:rFonts w:ascii="Times New Roman" w:hAnsi="Times New Roman" w:cs="Times New Roman"/>
          <w:sz w:val="24"/>
          <w:szCs w:val="28"/>
        </w:rPr>
        <w:t>dyanmics</w:t>
      </w:r>
      <w:proofErr w:type="spellEnd"/>
      <w:r w:rsidRPr="00BB3D6B">
        <w:rPr>
          <w:rFonts w:ascii="Times New Roman" w:hAnsi="Times New Roman" w:cs="Times New Roman"/>
          <w:sz w:val="24"/>
          <w:szCs w:val="28"/>
        </w:rPr>
        <w:t xml:space="preserve">. </w:t>
      </w:r>
      <w:r w:rsidRPr="00BB3D6B">
        <w:rPr>
          <w:rFonts w:ascii="Times New Roman" w:hAnsi="Times New Roman" w:cs="Times New Roman"/>
          <w:i/>
          <w:iCs/>
          <w:sz w:val="24"/>
          <w:szCs w:val="28"/>
        </w:rPr>
        <w:t xml:space="preserve">Bull. </w:t>
      </w:r>
      <w:proofErr w:type="spellStart"/>
      <w:r w:rsidRPr="00BB3D6B">
        <w:rPr>
          <w:rFonts w:ascii="Times New Roman" w:hAnsi="Times New Roman" w:cs="Times New Roman"/>
          <w:i/>
          <w:iCs/>
          <w:sz w:val="24"/>
          <w:szCs w:val="28"/>
        </w:rPr>
        <w:t>Jpn</w:t>
      </w:r>
      <w:proofErr w:type="spellEnd"/>
      <w:r w:rsidRPr="00BB3D6B">
        <w:rPr>
          <w:rFonts w:ascii="Times New Roman" w:hAnsi="Times New Roman" w:cs="Times New Roman"/>
          <w:i/>
          <w:iCs/>
          <w:sz w:val="24"/>
          <w:szCs w:val="28"/>
        </w:rPr>
        <w:t xml:space="preserve">. Soc. Fish. </w:t>
      </w:r>
      <w:proofErr w:type="spellStart"/>
      <w:r w:rsidRPr="00BB3D6B">
        <w:rPr>
          <w:rFonts w:ascii="Times New Roman" w:hAnsi="Times New Roman" w:cs="Times New Roman"/>
          <w:i/>
          <w:iCs/>
          <w:sz w:val="24"/>
          <w:szCs w:val="28"/>
        </w:rPr>
        <w:t>Oceanogr</w:t>
      </w:r>
      <w:proofErr w:type="spellEnd"/>
      <w:r w:rsidRPr="00BB3D6B">
        <w:rPr>
          <w:rFonts w:ascii="Times New Roman" w:hAnsi="Times New Roman" w:cs="Times New Roman"/>
          <w:i/>
          <w:iCs/>
          <w:sz w:val="24"/>
          <w:szCs w:val="28"/>
        </w:rPr>
        <w:t>.</w:t>
      </w:r>
      <w:r w:rsidRPr="00BB3D6B">
        <w:rPr>
          <w:rFonts w:ascii="Times New Roman" w:hAnsi="Times New Roman" w:cs="Times New Roman"/>
          <w:sz w:val="24"/>
          <w:szCs w:val="28"/>
        </w:rPr>
        <w:t xml:space="preserve"> 74, 35-45.</w:t>
      </w:r>
    </w:p>
    <w:p w14:paraId="1009D718" w14:textId="77777777" w:rsidR="00067228" w:rsidRPr="00BB3D6B" w:rsidRDefault="00067228" w:rsidP="00067228">
      <w:pPr>
        <w:ind w:left="485" w:hangingChars="202" w:hanging="485"/>
        <w:rPr>
          <w:rFonts w:ascii="Times New Roman" w:hAnsi="Times New Roman" w:cs="Times New Roman"/>
          <w:sz w:val="24"/>
          <w:szCs w:val="28"/>
        </w:rPr>
      </w:pPr>
      <w:r w:rsidRPr="00BB3D6B">
        <w:rPr>
          <w:rFonts w:ascii="Times New Roman" w:hAnsi="Times New Roman" w:cs="Times New Roman"/>
          <w:sz w:val="24"/>
          <w:szCs w:val="28"/>
        </w:rPr>
        <w:t>Kawabata A., H. Nishida, K. Takagi, M. Takahashi, M. Nakagami, T. Suyama, Y. Ueno, M. Naya, and Y. Yamashita. (2011). Seasonal distribution and migration of age-0 and age-1 Japanese sardine in the northwestern Pacific Ocean. Stock Assessment Survey Report (FY2009) and Proceedings of the 59th Workshop on Pacific Saury and small pelagic fish resources. Tohoku National Fisheries Research Institute, Miyagi, 189-194.</w:t>
      </w:r>
    </w:p>
    <w:p w14:paraId="648D62D9" w14:textId="77777777" w:rsidR="00067228" w:rsidRPr="00BB3D6B" w:rsidRDefault="00067228" w:rsidP="00067228">
      <w:pPr>
        <w:ind w:left="485" w:hangingChars="202" w:hanging="485"/>
        <w:rPr>
          <w:rFonts w:ascii="Times New Roman" w:hAnsi="Times New Roman" w:cs="Times New Roman"/>
          <w:sz w:val="24"/>
          <w:szCs w:val="28"/>
        </w:rPr>
      </w:pPr>
      <w:r w:rsidRPr="00BB3D6B">
        <w:rPr>
          <w:rFonts w:ascii="Times New Roman" w:hAnsi="Times New Roman" w:cs="Times New Roman"/>
          <w:sz w:val="24"/>
          <w:szCs w:val="28"/>
        </w:rPr>
        <w:t xml:space="preserve">Yoneda, M., H. Tanaka, S. Honda, H. Nishida, K. Nashida, K. Hirota, M. Ishida, S. </w:t>
      </w:r>
      <w:proofErr w:type="spellStart"/>
      <w:r w:rsidRPr="00BB3D6B">
        <w:rPr>
          <w:rFonts w:ascii="Times New Roman" w:hAnsi="Times New Roman" w:cs="Times New Roman"/>
          <w:sz w:val="24"/>
          <w:szCs w:val="28"/>
        </w:rPr>
        <w:t>Oshimo</w:t>
      </w:r>
      <w:proofErr w:type="spellEnd"/>
      <w:r w:rsidRPr="00BB3D6B">
        <w:rPr>
          <w:rFonts w:ascii="Times New Roman" w:hAnsi="Times New Roman" w:cs="Times New Roman"/>
          <w:sz w:val="24"/>
          <w:szCs w:val="28"/>
        </w:rPr>
        <w:t xml:space="preserve">, S. Miyabe, H. Ito, and A. Shimizu. (2013). Sexual maturation, spawning period and batch fecundity of Japanese sardine Sardinops melanostictus in the coastal waters off western Japan in 2008-2010. </w:t>
      </w:r>
      <w:r w:rsidRPr="00BB3D6B">
        <w:rPr>
          <w:rFonts w:ascii="Times New Roman" w:hAnsi="Times New Roman" w:cs="Times New Roman"/>
          <w:i/>
          <w:iCs/>
          <w:sz w:val="24"/>
          <w:szCs w:val="28"/>
        </w:rPr>
        <w:t xml:space="preserve">Bull. </w:t>
      </w:r>
      <w:proofErr w:type="spellStart"/>
      <w:r w:rsidRPr="00BB3D6B">
        <w:rPr>
          <w:rFonts w:ascii="Times New Roman" w:hAnsi="Times New Roman" w:cs="Times New Roman"/>
          <w:i/>
          <w:iCs/>
          <w:sz w:val="24"/>
          <w:szCs w:val="28"/>
        </w:rPr>
        <w:t>Jpn</w:t>
      </w:r>
      <w:proofErr w:type="spellEnd"/>
      <w:r w:rsidRPr="00BB3D6B">
        <w:rPr>
          <w:rFonts w:ascii="Times New Roman" w:hAnsi="Times New Roman" w:cs="Times New Roman"/>
          <w:i/>
          <w:iCs/>
          <w:sz w:val="24"/>
          <w:szCs w:val="28"/>
        </w:rPr>
        <w:t xml:space="preserve">. Soc. Fish. </w:t>
      </w:r>
      <w:proofErr w:type="spellStart"/>
      <w:r w:rsidRPr="00BB3D6B">
        <w:rPr>
          <w:rFonts w:ascii="Times New Roman" w:hAnsi="Times New Roman" w:cs="Times New Roman"/>
          <w:i/>
          <w:iCs/>
          <w:sz w:val="24"/>
          <w:szCs w:val="28"/>
        </w:rPr>
        <w:t>Oceanogr</w:t>
      </w:r>
      <w:proofErr w:type="spellEnd"/>
      <w:r w:rsidRPr="00BB3D6B">
        <w:rPr>
          <w:rFonts w:ascii="Times New Roman" w:hAnsi="Times New Roman" w:cs="Times New Roman"/>
          <w:i/>
          <w:iCs/>
          <w:sz w:val="24"/>
          <w:szCs w:val="28"/>
        </w:rPr>
        <w:t xml:space="preserve">. </w:t>
      </w:r>
      <w:r w:rsidRPr="00BB3D6B">
        <w:rPr>
          <w:rFonts w:ascii="Times New Roman" w:hAnsi="Times New Roman" w:cs="Times New Roman"/>
          <w:sz w:val="24"/>
          <w:szCs w:val="28"/>
        </w:rPr>
        <w:t xml:space="preserve">77:2, 59-67. </w:t>
      </w:r>
      <w:hyperlink r:id="rId10" w:history="1">
        <w:r w:rsidRPr="00BB3D6B">
          <w:rPr>
            <w:rStyle w:val="Hyperlink"/>
            <w:rFonts w:ascii="Times New Roman" w:hAnsi="Times New Roman" w:cs="Times New Roman"/>
            <w:sz w:val="24"/>
            <w:szCs w:val="28"/>
          </w:rPr>
          <w:t>https://doi.org/10.34423/jsfo.77.2_59</w:t>
        </w:r>
      </w:hyperlink>
      <w:r w:rsidRPr="00BB3D6B">
        <w:rPr>
          <w:rFonts w:ascii="Times New Roman" w:hAnsi="Times New Roman" w:cs="Times New Roman"/>
          <w:sz w:val="24"/>
          <w:szCs w:val="28"/>
        </w:rPr>
        <w:t xml:space="preserve"> </w:t>
      </w:r>
    </w:p>
    <w:p w14:paraId="1F160257" w14:textId="738FFC4C" w:rsidR="00067228" w:rsidRPr="00BB3D6B" w:rsidRDefault="00067228" w:rsidP="00067228">
      <w:pPr>
        <w:ind w:left="485" w:hangingChars="202" w:hanging="485"/>
        <w:rPr>
          <w:rFonts w:ascii="Times New Roman" w:hAnsi="Times New Roman" w:cs="Times New Roman"/>
          <w:sz w:val="24"/>
          <w:szCs w:val="28"/>
        </w:rPr>
      </w:pPr>
      <w:r w:rsidRPr="00BB3D6B">
        <w:rPr>
          <w:rFonts w:ascii="Times New Roman" w:hAnsi="Times New Roman" w:cs="Times New Roman"/>
          <w:sz w:val="24"/>
          <w:szCs w:val="28"/>
        </w:rPr>
        <w:t xml:space="preserve">Yukami, R., C. Watanabe, Y. Kamimura, S. Furuichi, T. Akamine, and T. Kishida. (2017). Stock assessment and evaluation of the Pacific stock of Japanese sardine (fiscal year 2016). Marine fisheries stock assessment and evaluation for Japanese waters. Japan Fisheries Agency and Japan Fisheries Research and Education Agency, Tokyo, 1-38 pp, [in Japanese)] </w:t>
      </w:r>
      <w:r>
        <w:rPr>
          <w:rFonts w:ascii="Times New Roman" w:hAnsi="Times New Roman" w:cs="Times New Roman"/>
          <w:sz w:val="24"/>
          <w:szCs w:val="28"/>
        </w:rPr>
        <w:br/>
      </w:r>
      <w:hyperlink r:id="rId11" w:history="1">
        <w:r w:rsidRPr="00BB3D6B">
          <w:rPr>
            <w:rStyle w:val="Hyperlink"/>
            <w:rFonts w:ascii="Times New Roman" w:hAnsi="Times New Roman" w:cs="Times New Roman"/>
            <w:sz w:val="24"/>
            <w:szCs w:val="28"/>
          </w:rPr>
          <w:t>https://abchan.fra.go.jp/wpt/wp-content/uploads/2023/08/details_2016_001.pdf</w:t>
        </w:r>
      </w:hyperlink>
    </w:p>
    <w:p w14:paraId="2A647F7A" w14:textId="77777777" w:rsidR="00067228" w:rsidRPr="00BB3D6B" w:rsidRDefault="00067228" w:rsidP="00067228">
      <w:pPr>
        <w:ind w:left="485" w:hangingChars="202" w:hanging="485"/>
        <w:rPr>
          <w:rFonts w:ascii="Times New Roman" w:hAnsi="Times New Roman" w:cs="Times New Roman"/>
          <w:sz w:val="24"/>
          <w:szCs w:val="28"/>
        </w:rPr>
      </w:pPr>
      <w:r w:rsidRPr="00BB3D6B">
        <w:rPr>
          <w:rFonts w:ascii="Times New Roman" w:hAnsi="Times New Roman" w:cs="Times New Roman"/>
          <w:sz w:val="24"/>
          <w:szCs w:val="28"/>
        </w:rPr>
        <w:t xml:space="preserve">Sakamoto, T., K. Komatsu, K. Shirai, T. Higuchi, T. Ishimura, T. Setou, Y. Kamimura, C. </w:t>
      </w:r>
      <w:r w:rsidRPr="00BB3D6B">
        <w:rPr>
          <w:rFonts w:ascii="Times New Roman" w:hAnsi="Times New Roman" w:cs="Times New Roman"/>
          <w:sz w:val="24"/>
          <w:szCs w:val="28"/>
        </w:rPr>
        <w:lastRenderedPageBreak/>
        <w:t xml:space="preserve">Watanabe, and A. Kawabata (2019). Combining microvolume isotope analysis and numerical simulation to reproduce fish migration history. </w:t>
      </w:r>
      <w:r w:rsidRPr="00BB3D6B">
        <w:rPr>
          <w:rFonts w:ascii="Times New Roman" w:hAnsi="Times New Roman" w:cs="Times New Roman"/>
          <w:i/>
          <w:iCs/>
          <w:sz w:val="24"/>
          <w:szCs w:val="28"/>
        </w:rPr>
        <w:t>Methods Ecol. Evol.</w:t>
      </w:r>
      <w:r w:rsidRPr="00BB3D6B">
        <w:rPr>
          <w:rFonts w:ascii="Times New Roman" w:hAnsi="Times New Roman" w:cs="Times New Roman"/>
          <w:sz w:val="24"/>
          <w:szCs w:val="28"/>
        </w:rPr>
        <w:t>, 10, 59-69.</w:t>
      </w:r>
    </w:p>
    <w:p w14:paraId="4B19E11E" w14:textId="0FA0212B" w:rsidR="00067228" w:rsidRPr="00BB3D6B" w:rsidRDefault="00067228" w:rsidP="00067228">
      <w:pPr>
        <w:ind w:left="485" w:hangingChars="202" w:hanging="485"/>
        <w:rPr>
          <w:rFonts w:ascii="Times New Roman" w:hAnsi="Times New Roman" w:cs="Times New Roman"/>
          <w:sz w:val="24"/>
          <w:szCs w:val="28"/>
        </w:rPr>
      </w:pPr>
      <w:r w:rsidRPr="00BB3D6B">
        <w:rPr>
          <w:rFonts w:ascii="Times New Roman" w:hAnsi="Times New Roman" w:cs="Times New Roman"/>
          <w:sz w:val="24"/>
          <w:szCs w:val="28"/>
        </w:rPr>
        <w:t xml:space="preserve">Kamimura, Y., K. Tadokoro, S. Furuichi, and R. Yukami. (2022) Stronger density-dependent growth of Japanese sardine with lower food availability: Comparison of growth and zooplankton biomass between a historical and current stock-increase period in the western North Pacific. </w:t>
      </w:r>
      <w:r w:rsidRPr="00BB3D6B">
        <w:rPr>
          <w:rFonts w:ascii="Times New Roman" w:hAnsi="Times New Roman" w:cs="Times New Roman"/>
          <w:i/>
          <w:iCs/>
          <w:sz w:val="24"/>
          <w:szCs w:val="28"/>
        </w:rPr>
        <w:t>Fish. Res.</w:t>
      </w:r>
      <w:r w:rsidRPr="00BB3D6B">
        <w:rPr>
          <w:rFonts w:ascii="Times New Roman" w:hAnsi="Times New Roman" w:cs="Times New Roman"/>
          <w:sz w:val="24"/>
          <w:szCs w:val="28"/>
        </w:rPr>
        <w:t xml:space="preserve"> 255, 106461.</w:t>
      </w:r>
      <w:r>
        <w:rPr>
          <w:rFonts w:ascii="Times New Roman" w:hAnsi="Times New Roman" w:cs="Times New Roman"/>
          <w:sz w:val="24"/>
          <w:szCs w:val="28"/>
        </w:rPr>
        <w:br/>
      </w:r>
      <w:r w:rsidRPr="00BB3D6B">
        <w:rPr>
          <w:rFonts w:ascii="Times New Roman" w:hAnsi="Times New Roman" w:cs="Times New Roman"/>
          <w:sz w:val="24"/>
          <w:szCs w:val="28"/>
        </w:rPr>
        <w:t xml:space="preserve"> </w:t>
      </w:r>
      <w:hyperlink r:id="rId12" w:history="1">
        <w:r w:rsidRPr="00BB3D6B">
          <w:rPr>
            <w:rStyle w:val="Hyperlink"/>
            <w:rFonts w:ascii="Times New Roman" w:hAnsi="Times New Roman" w:cs="Times New Roman"/>
            <w:sz w:val="24"/>
            <w:szCs w:val="28"/>
          </w:rPr>
          <w:t>https://doi.org/10.1016/j.fishres.2022.106461</w:t>
        </w:r>
      </w:hyperlink>
    </w:p>
    <w:p w14:paraId="3ADE0DCC" w14:textId="4EC46FE6" w:rsidR="00067228" w:rsidRPr="00BB3D6B" w:rsidRDefault="00067228" w:rsidP="00067228">
      <w:pPr>
        <w:ind w:left="485" w:hangingChars="202" w:hanging="485"/>
        <w:rPr>
          <w:rFonts w:ascii="Times New Roman" w:hAnsi="Times New Roman" w:cs="Times New Roman"/>
          <w:sz w:val="24"/>
          <w:szCs w:val="28"/>
        </w:rPr>
      </w:pPr>
      <w:r w:rsidRPr="00BB3D6B">
        <w:rPr>
          <w:rFonts w:ascii="Times New Roman" w:hAnsi="Times New Roman" w:cs="Times New Roman"/>
          <w:sz w:val="24"/>
          <w:szCs w:val="28"/>
        </w:rPr>
        <w:t xml:space="preserve">Furuichi, S., R. Yukami, Y. Kamimura, S. Nishijima, S. Isu, Y. Izawa, K. Higashiguchi, and R. Watanabe (2026). Stock assessment and evaluation of the Pacific stock of Japanese sardine (fiscal year 2025).  Marine fisheries stock assessment and evaluation for Japanese waters. Japan Fisheries Agency and Japan Fisheries Research and Education Agency, Tokyo, 1-76pp, [in Japanese)] </w:t>
      </w:r>
      <w:r>
        <w:rPr>
          <w:rFonts w:ascii="Times New Roman" w:hAnsi="Times New Roman" w:cs="Times New Roman"/>
          <w:sz w:val="24"/>
          <w:szCs w:val="28"/>
        </w:rPr>
        <w:br/>
      </w:r>
      <w:hyperlink r:id="rId13" w:history="1">
        <w:r w:rsidRPr="00BB3D6B">
          <w:rPr>
            <w:rStyle w:val="Hyperlink"/>
            <w:rFonts w:ascii="Times New Roman" w:hAnsi="Times New Roman" w:cs="Times New Roman"/>
            <w:sz w:val="24"/>
            <w:szCs w:val="28"/>
          </w:rPr>
          <w:t>https://abchan.fra.go.jp/wpt/wp-content/uploads/2026/03/details_2025_01.pdf</w:t>
        </w:r>
      </w:hyperlink>
    </w:p>
    <w:p w14:paraId="73C4130A" w14:textId="29E83603" w:rsidR="00067228" w:rsidRDefault="00067228" w:rsidP="00067228">
      <w:pPr>
        <w:ind w:left="485" w:hangingChars="202" w:hanging="485"/>
        <w:rPr>
          <w:rFonts w:ascii="Times New Roman" w:hAnsi="Times New Roman" w:cs="Times New Roman"/>
          <w:sz w:val="24"/>
          <w:szCs w:val="28"/>
        </w:rPr>
      </w:pPr>
      <w:r w:rsidRPr="00BB3D6B">
        <w:rPr>
          <w:rFonts w:ascii="Times New Roman" w:hAnsi="Times New Roman" w:cs="Times New Roman"/>
          <w:sz w:val="24"/>
          <w:szCs w:val="28"/>
        </w:rPr>
        <w:t xml:space="preserve">Higashiguchi, K., S. Nishijima, Y. Kamimura, S. Furuichi, and R. Yukami (2026). Species-specific temporal shifts in distribution patterns of Japanese sardine and Japanese anchovy in the Western North Pacific in relation to the Pacific decadal oscillation. </w:t>
      </w:r>
      <w:r w:rsidR="00A36A66">
        <w:rPr>
          <w:rFonts w:ascii="Times New Roman" w:hAnsi="Times New Roman" w:cs="Times New Roman" w:hint="eastAsia"/>
          <w:sz w:val="24"/>
          <w:szCs w:val="28"/>
        </w:rPr>
        <w:t xml:space="preserve">Fish. </w:t>
      </w:r>
      <w:proofErr w:type="spellStart"/>
      <w:r w:rsidR="00A36A66">
        <w:rPr>
          <w:rFonts w:ascii="Times New Roman" w:hAnsi="Times New Roman" w:cs="Times New Roman" w:hint="eastAsia"/>
          <w:sz w:val="24"/>
          <w:szCs w:val="28"/>
        </w:rPr>
        <w:t>Oceanogr</w:t>
      </w:r>
      <w:proofErr w:type="spellEnd"/>
      <w:r w:rsidR="00A36A66">
        <w:rPr>
          <w:rFonts w:ascii="Times New Roman" w:hAnsi="Times New Roman" w:cs="Times New Roman" w:hint="eastAsia"/>
          <w:sz w:val="24"/>
          <w:szCs w:val="28"/>
        </w:rPr>
        <w:t>.</w:t>
      </w:r>
      <w:r w:rsidR="00321436">
        <w:rPr>
          <w:rFonts w:ascii="Times New Roman" w:hAnsi="Times New Roman" w:cs="Times New Roman" w:hint="eastAsia"/>
          <w:sz w:val="24"/>
          <w:szCs w:val="28"/>
        </w:rPr>
        <w:t>, 0:1-13.</w:t>
      </w:r>
      <w:r w:rsidR="00A36A66">
        <w:rPr>
          <w:rFonts w:ascii="Times New Roman" w:hAnsi="Times New Roman" w:cs="Times New Roman" w:hint="eastAsia"/>
          <w:sz w:val="24"/>
          <w:szCs w:val="28"/>
        </w:rPr>
        <w:t xml:space="preserve"> </w:t>
      </w:r>
      <w:hyperlink r:id="rId14" w:history="1">
        <w:r w:rsidR="00BB3D6B" w:rsidRPr="00CE4FBB">
          <w:rPr>
            <w:rStyle w:val="Hyperlink"/>
            <w:rFonts w:ascii="Times New Roman" w:hAnsi="Times New Roman" w:cs="Times New Roman"/>
            <w:sz w:val="24"/>
            <w:szCs w:val="28"/>
          </w:rPr>
          <w:t>https://doi.org/10.1111/fog.70050</w:t>
        </w:r>
      </w:hyperlink>
    </w:p>
    <w:p w14:paraId="372B0890" w14:textId="77777777" w:rsidR="00BF7484" w:rsidRDefault="00BF7484" w:rsidP="00BF7484">
      <w:pPr>
        <w:rPr>
          <w:rFonts w:ascii="Times New Roman" w:hAnsi="Times New Roman" w:cs="Times New Roman"/>
          <w:sz w:val="24"/>
          <w:szCs w:val="24"/>
        </w:rPr>
      </w:pPr>
    </w:p>
    <w:p w14:paraId="41ADFC3C" w14:textId="77777777" w:rsidR="00BF7484" w:rsidRPr="000970D9" w:rsidRDefault="00BF7484" w:rsidP="00BB3D6B">
      <w:pPr>
        <w:rPr>
          <w:rFonts w:ascii="Times New Roman" w:hAnsi="Times New Roman" w:cs="Times New Roman"/>
          <w:sz w:val="24"/>
          <w:szCs w:val="24"/>
        </w:rPr>
      </w:pPr>
    </w:p>
    <w:p w14:paraId="4983A123" w14:textId="77777777" w:rsidR="00BB3D6B" w:rsidRDefault="00BB3D6B">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D186FBC" w14:textId="4153DE4A" w:rsidR="000970D9" w:rsidRPr="00BB3D6B" w:rsidRDefault="000970D9" w:rsidP="000970D9">
      <w:pPr>
        <w:widowControl/>
        <w:jc w:val="left"/>
        <w:rPr>
          <w:rFonts w:ascii="Times New Roman" w:hAnsi="Times New Roman" w:cs="Times New Roman"/>
          <w:sz w:val="24"/>
          <w:szCs w:val="24"/>
        </w:rPr>
      </w:pPr>
      <w:r w:rsidRPr="00BB3D6B">
        <w:rPr>
          <w:rFonts w:ascii="Times New Roman" w:hAnsi="Times New Roman" w:cs="Times New Roman"/>
          <w:sz w:val="24"/>
          <w:szCs w:val="24"/>
        </w:rPr>
        <w:lastRenderedPageBreak/>
        <w:t>Table 1. Mean scale length (cm) at each age.</w:t>
      </w:r>
    </w:p>
    <w:tbl>
      <w:tblPr>
        <w:tblW w:w="7560" w:type="dxa"/>
        <w:tblCellMar>
          <w:left w:w="99" w:type="dxa"/>
          <w:right w:w="99" w:type="dxa"/>
        </w:tblCellMar>
        <w:tblLook w:val="04A0" w:firstRow="1" w:lastRow="0" w:firstColumn="1" w:lastColumn="0" w:noHBand="0" w:noVBand="1"/>
      </w:tblPr>
      <w:tblGrid>
        <w:gridCol w:w="1080"/>
        <w:gridCol w:w="1080"/>
        <w:gridCol w:w="1080"/>
        <w:gridCol w:w="1080"/>
        <w:gridCol w:w="1080"/>
        <w:gridCol w:w="1080"/>
        <w:gridCol w:w="1080"/>
      </w:tblGrid>
      <w:tr w:rsidR="000970D9" w:rsidRPr="00BB3D6B" w14:paraId="7EC78639" w14:textId="77777777" w:rsidTr="005B7026">
        <w:trPr>
          <w:trHeight w:val="353"/>
        </w:trPr>
        <w:tc>
          <w:tcPr>
            <w:tcW w:w="1080" w:type="dxa"/>
            <w:tcBorders>
              <w:top w:val="single" w:sz="4" w:space="0" w:color="auto"/>
              <w:left w:val="nil"/>
              <w:bottom w:val="single" w:sz="4" w:space="0" w:color="auto"/>
              <w:right w:val="nil"/>
            </w:tcBorders>
            <w:noWrap/>
            <w:vAlign w:val="center"/>
            <w:hideMark/>
          </w:tcPr>
          <w:p w14:paraId="7D832C2D"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Year</w:t>
            </w:r>
          </w:p>
        </w:tc>
        <w:tc>
          <w:tcPr>
            <w:tcW w:w="1080" w:type="dxa"/>
            <w:tcBorders>
              <w:top w:val="single" w:sz="4" w:space="0" w:color="auto"/>
              <w:left w:val="nil"/>
              <w:bottom w:val="single" w:sz="4" w:space="0" w:color="auto"/>
              <w:right w:val="nil"/>
            </w:tcBorders>
            <w:noWrap/>
            <w:vAlign w:val="center"/>
            <w:hideMark/>
          </w:tcPr>
          <w:p w14:paraId="2C42B2F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Age_0</w:t>
            </w:r>
          </w:p>
        </w:tc>
        <w:tc>
          <w:tcPr>
            <w:tcW w:w="1080" w:type="dxa"/>
            <w:tcBorders>
              <w:top w:val="single" w:sz="4" w:space="0" w:color="auto"/>
              <w:left w:val="nil"/>
              <w:bottom w:val="single" w:sz="4" w:space="0" w:color="auto"/>
              <w:right w:val="nil"/>
            </w:tcBorders>
            <w:noWrap/>
            <w:vAlign w:val="center"/>
            <w:hideMark/>
          </w:tcPr>
          <w:p w14:paraId="15D9321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Age_1</w:t>
            </w:r>
          </w:p>
        </w:tc>
        <w:tc>
          <w:tcPr>
            <w:tcW w:w="1080" w:type="dxa"/>
            <w:tcBorders>
              <w:top w:val="single" w:sz="4" w:space="0" w:color="auto"/>
              <w:left w:val="nil"/>
              <w:bottom w:val="single" w:sz="4" w:space="0" w:color="auto"/>
              <w:right w:val="nil"/>
            </w:tcBorders>
            <w:noWrap/>
            <w:vAlign w:val="center"/>
            <w:hideMark/>
          </w:tcPr>
          <w:p w14:paraId="4864175D"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Age_2</w:t>
            </w:r>
          </w:p>
        </w:tc>
        <w:tc>
          <w:tcPr>
            <w:tcW w:w="1080" w:type="dxa"/>
            <w:tcBorders>
              <w:top w:val="single" w:sz="4" w:space="0" w:color="auto"/>
              <w:left w:val="nil"/>
              <w:bottom w:val="single" w:sz="4" w:space="0" w:color="auto"/>
              <w:right w:val="nil"/>
            </w:tcBorders>
            <w:noWrap/>
            <w:vAlign w:val="center"/>
            <w:hideMark/>
          </w:tcPr>
          <w:p w14:paraId="42E137A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Age_3</w:t>
            </w:r>
          </w:p>
        </w:tc>
        <w:tc>
          <w:tcPr>
            <w:tcW w:w="1080" w:type="dxa"/>
            <w:tcBorders>
              <w:top w:val="single" w:sz="4" w:space="0" w:color="auto"/>
              <w:left w:val="nil"/>
              <w:bottom w:val="single" w:sz="4" w:space="0" w:color="auto"/>
              <w:right w:val="nil"/>
            </w:tcBorders>
            <w:noWrap/>
            <w:vAlign w:val="center"/>
            <w:hideMark/>
          </w:tcPr>
          <w:p w14:paraId="5520FEF2"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Age_4</w:t>
            </w:r>
          </w:p>
        </w:tc>
        <w:tc>
          <w:tcPr>
            <w:tcW w:w="1080" w:type="dxa"/>
            <w:tcBorders>
              <w:top w:val="single" w:sz="4" w:space="0" w:color="auto"/>
              <w:left w:val="nil"/>
              <w:bottom w:val="single" w:sz="4" w:space="0" w:color="auto"/>
              <w:right w:val="nil"/>
            </w:tcBorders>
            <w:noWrap/>
            <w:vAlign w:val="center"/>
            <w:hideMark/>
          </w:tcPr>
          <w:p w14:paraId="6DE17EB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Age_5</w:t>
            </w:r>
          </w:p>
        </w:tc>
      </w:tr>
      <w:tr w:rsidR="000970D9" w:rsidRPr="00BB3D6B" w14:paraId="46FEF5CD" w14:textId="77777777" w:rsidTr="005B7026">
        <w:trPr>
          <w:trHeight w:val="353"/>
        </w:trPr>
        <w:tc>
          <w:tcPr>
            <w:tcW w:w="1080" w:type="dxa"/>
            <w:tcBorders>
              <w:top w:val="nil"/>
              <w:left w:val="nil"/>
              <w:bottom w:val="nil"/>
              <w:right w:val="nil"/>
            </w:tcBorders>
            <w:noWrap/>
            <w:vAlign w:val="center"/>
            <w:hideMark/>
          </w:tcPr>
          <w:p w14:paraId="47754533"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2014</w:t>
            </w:r>
          </w:p>
        </w:tc>
        <w:tc>
          <w:tcPr>
            <w:tcW w:w="1080" w:type="dxa"/>
            <w:tcBorders>
              <w:top w:val="nil"/>
              <w:left w:val="nil"/>
              <w:bottom w:val="nil"/>
              <w:right w:val="nil"/>
            </w:tcBorders>
            <w:noWrap/>
            <w:vAlign w:val="center"/>
            <w:hideMark/>
          </w:tcPr>
          <w:p w14:paraId="78EC7F2E"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12.2 </w:t>
            </w:r>
          </w:p>
        </w:tc>
        <w:tc>
          <w:tcPr>
            <w:tcW w:w="1080" w:type="dxa"/>
            <w:tcBorders>
              <w:top w:val="nil"/>
              <w:left w:val="nil"/>
              <w:bottom w:val="nil"/>
              <w:right w:val="nil"/>
            </w:tcBorders>
            <w:noWrap/>
            <w:vAlign w:val="center"/>
            <w:hideMark/>
          </w:tcPr>
          <w:p w14:paraId="23D7F6C2"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15.5 </w:t>
            </w:r>
          </w:p>
        </w:tc>
        <w:tc>
          <w:tcPr>
            <w:tcW w:w="1080" w:type="dxa"/>
            <w:tcBorders>
              <w:top w:val="nil"/>
              <w:left w:val="nil"/>
              <w:bottom w:val="nil"/>
              <w:right w:val="nil"/>
            </w:tcBorders>
            <w:noWrap/>
            <w:vAlign w:val="center"/>
            <w:hideMark/>
          </w:tcPr>
          <w:p w14:paraId="2F222B72"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19.2 </w:t>
            </w:r>
          </w:p>
        </w:tc>
        <w:tc>
          <w:tcPr>
            <w:tcW w:w="1080" w:type="dxa"/>
            <w:tcBorders>
              <w:top w:val="nil"/>
              <w:left w:val="nil"/>
              <w:bottom w:val="nil"/>
              <w:right w:val="nil"/>
            </w:tcBorders>
            <w:noWrap/>
            <w:vAlign w:val="center"/>
            <w:hideMark/>
          </w:tcPr>
          <w:p w14:paraId="4CE98C61"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20.5 </w:t>
            </w:r>
          </w:p>
        </w:tc>
        <w:tc>
          <w:tcPr>
            <w:tcW w:w="1080" w:type="dxa"/>
            <w:tcBorders>
              <w:top w:val="nil"/>
              <w:left w:val="nil"/>
              <w:bottom w:val="nil"/>
              <w:right w:val="nil"/>
            </w:tcBorders>
            <w:noWrap/>
            <w:vAlign w:val="center"/>
            <w:hideMark/>
          </w:tcPr>
          <w:p w14:paraId="36BB4885"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21.1 </w:t>
            </w:r>
          </w:p>
        </w:tc>
        <w:tc>
          <w:tcPr>
            <w:tcW w:w="1080" w:type="dxa"/>
            <w:tcBorders>
              <w:top w:val="nil"/>
              <w:left w:val="nil"/>
              <w:bottom w:val="nil"/>
              <w:right w:val="nil"/>
            </w:tcBorders>
            <w:noWrap/>
            <w:vAlign w:val="center"/>
            <w:hideMark/>
          </w:tcPr>
          <w:p w14:paraId="49D9E3A4"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22.1 </w:t>
            </w:r>
          </w:p>
        </w:tc>
      </w:tr>
      <w:tr w:rsidR="000970D9" w:rsidRPr="00BB3D6B" w14:paraId="7402C898" w14:textId="77777777" w:rsidTr="005B7026">
        <w:trPr>
          <w:trHeight w:val="353"/>
        </w:trPr>
        <w:tc>
          <w:tcPr>
            <w:tcW w:w="1080" w:type="dxa"/>
            <w:tcBorders>
              <w:top w:val="nil"/>
              <w:left w:val="nil"/>
              <w:bottom w:val="nil"/>
              <w:right w:val="nil"/>
            </w:tcBorders>
            <w:noWrap/>
            <w:vAlign w:val="center"/>
            <w:hideMark/>
          </w:tcPr>
          <w:p w14:paraId="3E28908A"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2015</w:t>
            </w:r>
          </w:p>
        </w:tc>
        <w:tc>
          <w:tcPr>
            <w:tcW w:w="1080" w:type="dxa"/>
            <w:tcBorders>
              <w:top w:val="nil"/>
              <w:left w:val="nil"/>
              <w:bottom w:val="nil"/>
              <w:right w:val="nil"/>
            </w:tcBorders>
            <w:noWrap/>
            <w:vAlign w:val="center"/>
            <w:hideMark/>
          </w:tcPr>
          <w:p w14:paraId="353DDA85"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11.2 </w:t>
            </w:r>
          </w:p>
        </w:tc>
        <w:tc>
          <w:tcPr>
            <w:tcW w:w="1080" w:type="dxa"/>
            <w:tcBorders>
              <w:top w:val="nil"/>
              <w:left w:val="nil"/>
              <w:bottom w:val="nil"/>
              <w:right w:val="nil"/>
            </w:tcBorders>
            <w:noWrap/>
            <w:vAlign w:val="center"/>
            <w:hideMark/>
          </w:tcPr>
          <w:p w14:paraId="20F4F8BC"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14.9 </w:t>
            </w:r>
          </w:p>
        </w:tc>
        <w:tc>
          <w:tcPr>
            <w:tcW w:w="1080" w:type="dxa"/>
            <w:tcBorders>
              <w:top w:val="nil"/>
              <w:left w:val="nil"/>
              <w:bottom w:val="nil"/>
              <w:right w:val="nil"/>
            </w:tcBorders>
            <w:noWrap/>
            <w:vAlign w:val="center"/>
            <w:hideMark/>
          </w:tcPr>
          <w:p w14:paraId="70F704A8"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19.3 </w:t>
            </w:r>
          </w:p>
        </w:tc>
        <w:tc>
          <w:tcPr>
            <w:tcW w:w="1080" w:type="dxa"/>
            <w:tcBorders>
              <w:top w:val="nil"/>
              <w:left w:val="nil"/>
              <w:bottom w:val="nil"/>
              <w:right w:val="nil"/>
            </w:tcBorders>
            <w:noWrap/>
            <w:vAlign w:val="center"/>
            <w:hideMark/>
          </w:tcPr>
          <w:p w14:paraId="4F7AA25B"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20.7 </w:t>
            </w:r>
          </w:p>
        </w:tc>
        <w:tc>
          <w:tcPr>
            <w:tcW w:w="1080" w:type="dxa"/>
            <w:tcBorders>
              <w:top w:val="nil"/>
              <w:left w:val="nil"/>
              <w:bottom w:val="nil"/>
              <w:right w:val="nil"/>
            </w:tcBorders>
            <w:noWrap/>
            <w:vAlign w:val="center"/>
            <w:hideMark/>
          </w:tcPr>
          <w:p w14:paraId="2EB36AAE"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21.5 </w:t>
            </w:r>
          </w:p>
        </w:tc>
        <w:tc>
          <w:tcPr>
            <w:tcW w:w="1080" w:type="dxa"/>
            <w:tcBorders>
              <w:top w:val="nil"/>
              <w:left w:val="nil"/>
              <w:bottom w:val="nil"/>
              <w:right w:val="nil"/>
            </w:tcBorders>
            <w:noWrap/>
            <w:vAlign w:val="center"/>
            <w:hideMark/>
          </w:tcPr>
          <w:p w14:paraId="34106516"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22.0 </w:t>
            </w:r>
          </w:p>
        </w:tc>
      </w:tr>
      <w:tr w:rsidR="000970D9" w:rsidRPr="00BB3D6B" w14:paraId="327E5AFF" w14:textId="77777777" w:rsidTr="005B7026">
        <w:trPr>
          <w:trHeight w:val="353"/>
        </w:trPr>
        <w:tc>
          <w:tcPr>
            <w:tcW w:w="1080" w:type="dxa"/>
            <w:tcBorders>
              <w:top w:val="nil"/>
              <w:left w:val="nil"/>
              <w:bottom w:val="nil"/>
              <w:right w:val="nil"/>
            </w:tcBorders>
            <w:noWrap/>
            <w:vAlign w:val="center"/>
            <w:hideMark/>
          </w:tcPr>
          <w:p w14:paraId="29D653A0"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2016</w:t>
            </w:r>
          </w:p>
        </w:tc>
        <w:tc>
          <w:tcPr>
            <w:tcW w:w="1080" w:type="dxa"/>
            <w:tcBorders>
              <w:top w:val="nil"/>
              <w:left w:val="nil"/>
              <w:bottom w:val="nil"/>
              <w:right w:val="nil"/>
            </w:tcBorders>
            <w:noWrap/>
            <w:vAlign w:val="center"/>
            <w:hideMark/>
          </w:tcPr>
          <w:p w14:paraId="1E52E3E3"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11.5 </w:t>
            </w:r>
          </w:p>
        </w:tc>
        <w:tc>
          <w:tcPr>
            <w:tcW w:w="1080" w:type="dxa"/>
            <w:tcBorders>
              <w:top w:val="nil"/>
              <w:left w:val="nil"/>
              <w:bottom w:val="nil"/>
              <w:right w:val="nil"/>
            </w:tcBorders>
            <w:noWrap/>
            <w:vAlign w:val="center"/>
            <w:hideMark/>
          </w:tcPr>
          <w:p w14:paraId="6CFD4F3B"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15.6 </w:t>
            </w:r>
          </w:p>
        </w:tc>
        <w:tc>
          <w:tcPr>
            <w:tcW w:w="1080" w:type="dxa"/>
            <w:tcBorders>
              <w:top w:val="nil"/>
              <w:left w:val="nil"/>
              <w:bottom w:val="nil"/>
              <w:right w:val="nil"/>
            </w:tcBorders>
            <w:noWrap/>
            <w:vAlign w:val="center"/>
            <w:hideMark/>
          </w:tcPr>
          <w:p w14:paraId="4CD58D7C"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18.7 </w:t>
            </w:r>
          </w:p>
        </w:tc>
        <w:tc>
          <w:tcPr>
            <w:tcW w:w="1080" w:type="dxa"/>
            <w:tcBorders>
              <w:top w:val="nil"/>
              <w:left w:val="nil"/>
              <w:bottom w:val="nil"/>
              <w:right w:val="nil"/>
            </w:tcBorders>
            <w:noWrap/>
            <w:vAlign w:val="center"/>
            <w:hideMark/>
          </w:tcPr>
          <w:p w14:paraId="37A19C0C"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20.8 </w:t>
            </w:r>
          </w:p>
        </w:tc>
        <w:tc>
          <w:tcPr>
            <w:tcW w:w="1080" w:type="dxa"/>
            <w:tcBorders>
              <w:top w:val="nil"/>
              <w:left w:val="nil"/>
              <w:bottom w:val="nil"/>
              <w:right w:val="nil"/>
            </w:tcBorders>
            <w:noWrap/>
            <w:vAlign w:val="center"/>
            <w:hideMark/>
          </w:tcPr>
          <w:p w14:paraId="4DEC5592"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21.3 </w:t>
            </w:r>
          </w:p>
        </w:tc>
        <w:tc>
          <w:tcPr>
            <w:tcW w:w="1080" w:type="dxa"/>
            <w:tcBorders>
              <w:top w:val="nil"/>
              <w:left w:val="nil"/>
              <w:bottom w:val="nil"/>
              <w:right w:val="nil"/>
            </w:tcBorders>
            <w:noWrap/>
            <w:vAlign w:val="center"/>
            <w:hideMark/>
          </w:tcPr>
          <w:p w14:paraId="7E9B9A60"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22.2 </w:t>
            </w:r>
          </w:p>
        </w:tc>
      </w:tr>
      <w:tr w:rsidR="000970D9" w:rsidRPr="00BB3D6B" w14:paraId="620569F3" w14:textId="77777777" w:rsidTr="005B7026">
        <w:trPr>
          <w:trHeight w:val="353"/>
        </w:trPr>
        <w:tc>
          <w:tcPr>
            <w:tcW w:w="1080" w:type="dxa"/>
            <w:tcBorders>
              <w:top w:val="nil"/>
              <w:left w:val="nil"/>
              <w:bottom w:val="nil"/>
              <w:right w:val="nil"/>
            </w:tcBorders>
            <w:noWrap/>
            <w:vAlign w:val="center"/>
            <w:hideMark/>
          </w:tcPr>
          <w:p w14:paraId="3475C7DF"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2017</w:t>
            </w:r>
          </w:p>
        </w:tc>
        <w:tc>
          <w:tcPr>
            <w:tcW w:w="1080" w:type="dxa"/>
            <w:tcBorders>
              <w:top w:val="nil"/>
              <w:left w:val="nil"/>
              <w:bottom w:val="nil"/>
              <w:right w:val="nil"/>
            </w:tcBorders>
            <w:noWrap/>
            <w:vAlign w:val="center"/>
            <w:hideMark/>
          </w:tcPr>
          <w:p w14:paraId="25818AAF"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10.1 </w:t>
            </w:r>
          </w:p>
        </w:tc>
        <w:tc>
          <w:tcPr>
            <w:tcW w:w="1080" w:type="dxa"/>
            <w:tcBorders>
              <w:top w:val="nil"/>
              <w:left w:val="nil"/>
              <w:bottom w:val="nil"/>
              <w:right w:val="nil"/>
            </w:tcBorders>
            <w:noWrap/>
            <w:vAlign w:val="center"/>
            <w:hideMark/>
          </w:tcPr>
          <w:p w14:paraId="75B218CA"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15.6 </w:t>
            </w:r>
          </w:p>
        </w:tc>
        <w:tc>
          <w:tcPr>
            <w:tcW w:w="1080" w:type="dxa"/>
            <w:tcBorders>
              <w:top w:val="nil"/>
              <w:left w:val="nil"/>
              <w:bottom w:val="nil"/>
              <w:right w:val="nil"/>
            </w:tcBorders>
            <w:noWrap/>
            <w:vAlign w:val="center"/>
            <w:hideMark/>
          </w:tcPr>
          <w:p w14:paraId="4C6DE695"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18.7 </w:t>
            </w:r>
          </w:p>
        </w:tc>
        <w:tc>
          <w:tcPr>
            <w:tcW w:w="1080" w:type="dxa"/>
            <w:tcBorders>
              <w:top w:val="nil"/>
              <w:left w:val="nil"/>
              <w:bottom w:val="nil"/>
              <w:right w:val="nil"/>
            </w:tcBorders>
            <w:noWrap/>
            <w:vAlign w:val="center"/>
            <w:hideMark/>
          </w:tcPr>
          <w:p w14:paraId="2F33BCDE"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19.8 </w:t>
            </w:r>
          </w:p>
        </w:tc>
        <w:tc>
          <w:tcPr>
            <w:tcW w:w="1080" w:type="dxa"/>
            <w:tcBorders>
              <w:top w:val="nil"/>
              <w:left w:val="nil"/>
              <w:bottom w:val="nil"/>
              <w:right w:val="nil"/>
            </w:tcBorders>
            <w:noWrap/>
            <w:vAlign w:val="center"/>
            <w:hideMark/>
          </w:tcPr>
          <w:p w14:paraId="6EE16936"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21.2 </w:t>
            </w:r>
          </w:p>
        </w:tc>
        <w:tc>
          <w:tcPr>
            <w:tcW w:w="1080" w:type="dxa"/>
            <w:tcBorders>
              <w:top w:val="nil"/>
              <w:left w:val="nil"/>
              <w:bottom w:val="nil"/>
              <w:right w:val="nil"/>
            </w:tcBorders>
            <w:noWrap/>
            <w:vAlign w:val="center"/>
            <w:hideMark/>
          </w:tcPr>
          <w:p w14:paraId="588E3148"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22.0 </w:t>
            </w:r>
          </w:p>
        </w:tc>
      </w:tr>
      <w:tr w:rsidR="000970D9" w:rsidRPr="00BB3D6B" w14:paraId="62589BCC" w14:textId="77777777" w:rsidTr="005B7026">
        <w:trPr>
          <w:trHeight w:val="353"/>
        </w:trPr>
        <w:tc>
          <w:tcPr>
            <w:tcW w:w="1080" w:type="dxa"/>
            <w:tcBorders>
              <w:top w:val="nil"/>
              <w:left w:val="nil"/>
              <w:bottom w:val="nil"/>
              <w:right w:val="nil"/>
            </w:tcBorders>
            <w:noWrap/>
            <w:vAlign w:val="center"/>
            <w:hideMark/>
          </w:tcPr>
          <w:p w14:paraId="04BE8478"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2018</w:t>
            </w:r>
          </w:p>
        </w:tc>
        <w:tc>
          <w:tcPr>
            <w:tcW w:w="1080" w:type="dxa"/>
            <w:tcBorders>
              <w:top w:val="nil"/>
              <w:left w:val="nil"/>
              <w:bottom w:val="nil"/>
              <w:right w:val="nil"/>
            </w:tcBorders>
            <w:noWrap/>
            <w:vAlign w:val="center"/>
            <w:hideMark/>
          </w:tcPr>
          <w:p w14:paraId="1BECA65E"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11.1 </w:t>
            </w:r>
          </w:p>
        </w:tc>
        <w:tc>
          <w:tcPr>
            <w:tcW w:w="1080" w:type="dxa"/>
            <w:tcBorders>
              <w:top w:val="nil"/>
              <w:left w:val="nil"/>
              <w:bottom w:val="nil"/>
              <w:right w:val="nil"/>
            </w:tcBorders>
            <w:noWrap/>
            <w:vAlign w:val="center"/>
            <w:hideMark/>
          </w:tcPr>
          <w:p w14:paraId="60B73585"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15.1 </w:t>
            </w:r>
          </w:p>
        </w:tc>
        <w:tc>
          <w:tcPr>
            <w:tcW w:w="1080" w:type="dxa"/>
            <w:tcBorders>
              <w:top w:val="nil"/>
              <w:left w:val="nil"/>
              <w:bottom w:val="nil"/>
              <w:right w:val="nil"/>
            </w:tcBorders>
            <w:noWrap/>
            <w:vAlign w:val="center"/>
            <w:hideMark/>
          </w:tcPr>
          <w:p w14:paraId="6F8D1331"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18.5 </w:t>
            </w:r>
          </w:p>
        </w:tc>
        <w:tc>
          <w:tcPr>
            <w:tcW w:w="1080" w:type="dxa"/>
            <w:tcBorders>
              <w:top w:val="nil"/>
              <w:left w:val="nil"/>
              <w:bottom w:val="nil"/>
              <w:right w:val="nil"/>
            </w:tcBorders>
            <w:noWrap/>
            <w:vAlign w:val="center"/>
            <w:hideMark/>
          </w:tcPr>
          <w:p w14:paraId="122643E0"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19.9 </w:t>
            </w:r>
          </w:p>
        </w:tc>
        <w:tc>
          <w:tcPr>
            <w:tcW w:w="1080" w:type="dxa"/>
            <w:tcBorders>
              <w:top w:val="nil"/>
              <w:left w:val="nil"/>
              <w:bottom w:val="nil"/>
              <w:right w:val="nil"/>
            </w:tcBorders>
            <w:noWrap/>
            <w:vAlign w:val="center"/>
            <w:hideMark/>
          </w:tcPr>
          <w:p w14:paraId="6106B2A1"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20.4 </w:t>
            </w:r>
          </w:p>
        </w:tc>
        <w:tc>
          <w:tcPr>
            <w:tcW w:w="1080" w:type="dxa"/>
            <w:tcBorders>
              <w:top w:val="nil"/>
              <w:left w:val="nil"/>
              <w:bottom w:val="nil"/>
              <w:right w:val="nil"/>
            </w:tcBorders>
            <w:noWrap/>
            <w:vAlign w:val="center"/>
            <w:hideMark/>
          </w:tcPr>
          <w:p w14:paraId="58FFA48D"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21.8 </w:t>
            </w:r>
          </w:p>
        </w:tc>
      </w:tr>
      <w:tr w:rsidR="000970D9" w:rsidRPr="00BB3D6B" w14:paraId="23191A07" w14:textId="77777777" w:rsidTr="005B7026">
        <w:trPr>
          <w:trHeight w:val="353"/>
        </w:trPr>
        <w:tc>
          <w:tcPr>
            <w:tcW w:w="1080" w:type="dxa"/>
            <w:tcBorders>
              <w:top w:val="nil"/>
              <w:left w:val="nil"/>
              <w:bottom w:val="nil"/>
              <w:right w:val="nil"/>
            </w:tcBorders>
            <w:noWrap/>
            <w:vAlign w:val="center"/>
            <w:hideMark/>
          </w:tcPr>
          <w:p w14:paraId="7C5DD47F"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2019</w:t>
            </w:r>
          </w:p>
        </w:tc>
        <w:tc>
          <w:tcPr>
            <w:tcW w:w="1080" w:type="dxa"/>
            <w:tcBorders>
              <w:top w:val="nil"/>
              <w:left w:val="nil"/>
              <w:bottom w:val="nil"/>
              <w:right w:val="nil"/>
            </w:tcBorders>
            <w:noWrap/>
            <w:vAlign w:val="center"/>
            <w:hideMark/>
          </w:tcPr>
          <w:p w14:paraId="36AE01DA"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10.4 </w:t>
            </w:r>
          </w:p>
        </w:tc>
        <w:tc>
          <w:tcPr>
            <w:tcW w:w="1080" w:type="dxa"/>
            <w:tcBorders>
              <w:top w:val="nil"/>
              <w:left w:val="nil"/>
              <w:bottom w:val="nil"/>
              <w:right w:val="nil"/>
            </w:tcBorders>
            <w:noWrap/>
            <w:vAlign w:val="center"/>
            <w:hideMark/>
          </w:tcPr>
          <w:p w14:paraId="4C89C975"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14.8 </w:t>
            </w:r>
          </w:p>
        </w:tc>
        <w:tc>
          <w:tcPr>
            <w:tcW w:w="1080" w:type="dxa"/>
            <w:tcBorders>
              <w:top w:val="nil"/>
              <w:left w:val="nil"/>
              <w:bottom w:val="nil"/>
              <w:right w:val="nil"/>
            </w:tcBorders>
            <w:noWrap/>
            <w:vAlign w:val="center"/>
            <w:hideMark/>
          </w:tcPr>
          <w:p w14:paraId="5D026F5C"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16.9 </w:t>
            </w:r>
          </w:p>
        </w:tc>
        <w:tc>
          <w:tcPr>
            <w:tcW w:w="1080" w:type="dxa"/>
            <w:tcBorders>
              <w:top w:val="nil"/>
              <w:left w:val="nil"/>
              <w:bottom w:val="nil"/>
              <w:right w:val="nil"/>
            </w:tcBorders>
            <w:noWrap/>
            <w:vAlign w:val="center"/>
            <w:hideMark/>
          </w:tcPr>
          <w:p w14:paraId="4176FECE"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19.3 </w:t>
            </w:r>
          </w:p>
        </w:tc>
        <w:tc>
          <w:tcPr>
            <w:tcW w:w="1080" w:type="dxa"/>
            <w:tcBorders>
              <w:top w:val="nil"/>
              <w:left w:val="nil"/>
              <w:bottom w:val="nil"/>
              <w:right w:val="nil"/>
            </w:tcBorders>
            <w:noWrap/>
            <w:vAlign w:val="center"/>
            <w:hideMark/>
          </w:tcPr>
          <w:p w14:paraId="0D19EB46"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19.9 </w:t>
            </w:r>
          </w:p>
        </w:tc>
        <w:tc>
          <w:tcPr>
            <w:tcW w:w="1080" w:type="dxa"/>
            <w:tcBorders>
              <w:top w:val="nil"/>
              <w:left w:val="nil"/>
              <w:bottom w:val="nil"/>
              <w:right w:val="nil"/>
            </w:tcBorders>
            <w:noWrap/>
            <w:vAlign w:val="center"/>
            <w:hideMark/>
          </w:tcPr>
          <w:p w14:paraId="36638604"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20.8 </w:t>
            </w:r>
          </w:p>
        </w:tc>
      </w:tr>
      <w:tr w:rsidR="000970D9" w:rsidRPr="00BB3D6B" w14:paraId="2870C193" w14:textId="77777777" w:rsidTr="005B7026">
        <w:trPr>
          <w:trHeight w:val="353"/>
        </w:trPr>
        <w:tc>
          <w:tcPr>
            <w:tcW w:w="1080" w:type="dxa"/>
            <w:tcBorders>
              <w:top w:val="nil"/>
              <w:left w:val="nil"/>
              <w:bottom w:val="nil"/>
              <w:right w:val="nil"/>
            </w:tcBorders>
            <w:noWrap/>
            <w:vAlign w:val="center"/>
            <w:hideMark/>
          </w:tcPr>
          <w:p w14:paraId="15083877"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2020</w:t>
            </w:r>
          </w:p>
        </w:tc>
        <w:tc>
          <w:tcPr>
            <w:tcW w:w="1080" w:type="dxa"/>
            <w:tcBorders>
              <w:top w:val="nil"/>
              <w:left w:val="nil"/>
              <w:bottom w:val="nil"/>
              <w:right w:val="nil"/>
            </w:tcBorders>
            <w:noWrap/>
            <w:vAlign w:val="center"/>
            <w:hideMark/>
          </w:tcPr>
          <w:p w14:paraId="776AF05D"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10.7 </w:t>
            </w:r>
          </w:p>
        </w:tc>
        <w:tc>
          <w:tcPr>
            <w:tcW w:w="1080" w:type="dxa"/>
            <w:tcBorders>
              <w:top w:val="nil"/>
              <w:left w:val="nil"/>
              <w:bottom w:val="nil"/>
              <w:right w:val="nil"/>
            </w:tcBorders>
            <w:noWrap/>
            <w:vAlign w:val="center"/>
            <w:hideMark/>
          </w:tcPr>
          <w:p w14:paraId="5C941665"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15.2 </w:t>
            </w:r>
          </w:p>
        </w:tc>
        <w:tc>
          <w:tcPr>
            <w:tcW w:w="1080" w:type="dxa"/>
            <w:tcBorders>
              <w:top w:val="nil"/>
              <w:left w:val="nil"/>
              <w:bottom w:val="nil"/>
              <w:right w:val="nil"/>
            </w:tcBorders>
            <w:noWrap/>
            <w:vAlign w:val="center"/>
            <w:hideMark/>
          </w:tcPr>
          <w:p w14:paraId="382C0F36"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16.5 </w:t>
            </w:r>
          </w:p>
        </w:tc>
        <w:tc>
          <w:tcPr>
            <w:tcW w:w="1080" w:type="dxa"/>
            <w:tcBorders>
              <w:top w:val="nil"/>
              <w:left w:val="nil"/>
              <w:bottom w:val="nil"/>
              <w:right w:val="nil"/>
            </w:tcBorders>
            <w:noWrap/>
            <w:vAlign w:val="center"/>
            <w:hideMark/>
          </w:tcPr>
          <w:p w14:paraId="0D506163"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18.3 </w:t>
            </w:r>
          </w:p>
        </w:tc>
        <w:tc>
          <w:tcPr>
            <w:tcW w:w="1080" w:type="dxa"/>
            <w:tcBorders>
              <w:top w:val="nil"/>
              <w:left w:val="nil"/>
              <w:bottom w:val="nil"/>
              <w:right w:val="nil"/>
            </w:tcBorders>
            <w:noWrap/>
            <w:vAlign w:val="center"/>
            <w:hideMark/>
          </w:tcPr>
          <w:p w14:paraId="5FB4D37A"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20.3 </w:t>
            </w:r>
          </w:p>
        </w:tc>
        <w:tc>
          <w:tcPr>
            <w:tcW w:w="1080" w:type="dxa"/>
            <w:tcBorders>
              <w:top w:val="nil"/>
              <w:left w:val="nil"/>
              <w:bottom w:val="nil"/>
              <w:right w:val="nil"/>
            </w:tcBorders>
            <w:noWrap/>
            <w:vAlign w:val="center"/>
            <w:hideMark/>
          </w:tcPr>
          <w:p w14:paraId="3721D839"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21.7 </w:t>
            </w:r>
          </w:p>
        </w:tc>
      </w:tr>
      <w:tr w:rsidR="000970D9" w:rsidRPr="00BB3D6B" w14:paraId="145E5F68" w14:textId="77777777" w:rsidTr="005B7026">
        <w:trPr>
          <w:trHeight w:val="353"/>
        </w:trPr>
        <w:tc>
          <w:tcPr>
            <w:tcW w:w="1080" w:type="dxa"/>
            <w:tcBorders>
              <w:top w:val="nil"/>
              <w:left w:val="nil"/>
              <w:bottom w:val="nil"/>
              <w:right w:val="nil"/>
            </w:tcBorders>
            <w:noWrap/>
            <w:vAlign w:val="center"/>
            <w:hideMark/>
          </w:tcPr>
          <w:p w14:paraId="08BEE718"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2021</w:t>
            </w:r>
          </w:p>
        </w:tc>
        <w:tc>
          <w:tcPr>
            <w:tcW w:w="1080" w:type="dxa"/>
            <w:tcBorders>
              <w:top w:val="nil"/>
              <w:left w:val="nil"/>
              <w:bottom w:val="nil"/>
              <w:right w:val="nil"/>
            </w:tcBorders>
            <w:noWrap/>
            <w:vAlign w:val="center"/>
            <w:hideMark/>
          </w:tcPr>
          <w:p w14:paraId="1EB42A29"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10.9 </w:t>
            </w:r>
          </w:p>
        </w:tc>
        <w:tc>
          <w:tcPr>
            <w:tcW w:w="1080" w:type="dxa"/>
            <w:tcBorders>
              <w:top w:val="nil"/>
              <w:left w:val="nil"/>
              <w:bottom w:val="nil"/>
              <w:right w:val="nil"/>
            </w:tcBorders>
            <w:noWrap/>
            <w:vAlign w:val="center"/>
            <w:hideMark/>
          </w:tcPr>
          <w:p w14:paraId="00C22158"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14.2 </w:t>
            </w:r>
          </w:p>
        </w:tc>
        <w:tc>
          <w:tcPr>
            <w:tcW w:w="1080" w:type="dxa"/>
            <w:tcBorders>
              <w:top w:val="nil"/>
              <w:left w:val="nil"/>
              <w:bottom w:val="nil"/>
              <w:right w:val="nil"/>
            </w:tcBorders>
            <w:noWrap/>
            <w:vAlign w:val="center"/>
            <w:hideMark/>
          </w:tcPr>
          <w:p w14:paraId="3285D428"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16.5 </w:t>
            </w:r>
          </w:p>
        </w:tc>
        <w:tc>
          <w:tcPr>
            <w:tcW w:w="1080" w:type="dxa"/>
            <w:tcBorders>
              <w:top w:val="nil"/>
              <w:left w:val="nil"/>
              <w:bottom w:val="nil"/>
              <w:right w:val="nil"/>
            </w:tcBorders>
            <w:noWrap/>
            <w:vAlign w:val="center"/>
            <w:hideMark/>
          </w:tcPr>
          <w:p w14:paraId="5328DC4C"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17.4 </w:t>
            </w:r>
          </w:p>
        </w:tc>
        <w:tc>
          <w:tcPr>
            <w:tcW w:w="1080" w:type="dxa"/>
            <w:tcBorders>
              <w:top w:val="nil"/>
              <w:left w:val="nil"/>
              <w:bottom w:val="nil"/>
              <w:right w:val="nil"/>
            </w:tcBorders>
            <w:noWrap/>
            <w:vAlign w:val="center"/>
            <w:hideMark/>
          </w:tcPr>
          <w:p w14:paraId="619825D0"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19.3 </w:t>
            </w:r>
          </w:p>
        </w:tc>
        <w:tc>
          <w:tcPr>
            <w:tcW w:w="1080" w:type="dxa"/>
            <w:tcBorders>
              <w:top w:val="nil"/>
              <w:left w:val="nil"/>
              <w:bottom w:val="nil"/>
              <w:right w:val="nil"/>
            </w:tcBorders>
            <w:noWrap/>
            <w:vAlign w:val="center"/>
            <w:hideMark/>
          </w:tcPr>
          <w:p w14:paraId="24EF88C3"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21.1 </w:t>
            </w:r>
          </w:p>
        </w:tc>
      </w:tr>
      <w:tr w:rsidR="000970D9" w:rsidRPr="00BB3D6B" w14:paraId="095FFD73" w14:textId="77777777" w:rsidTr="005B7026">
        <w:trPr>
          <w:trHeight w:val="353"/>
        </w:trPr>
        <w:tc>
          <w:tcPr>
            <w:tcW w:w="1080" w:type="dxa"/>
            <w:tcBorders>
              <w:top w:val="nil"/>
              <w:left w:val="nil"/>
              <w:bottom w:val="nil"/>
              <w:right w:val="nil"/>
            </w:tcBorders>
            <w:noWrap/>
            <w:vAlign w:val="center"/>
            <w:hideMark/>
          </w:tcPr>
          <w:p w14:paraId="037EE5F6"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2022</w:t>
            </w:r>
          </w:p>
        </w:tc>
        <w:tc>
          <w:tcPr>
            <w:tcW w:w="1080" w:type="dxa"/>
            <w:tcBorders>
              <w:top w:val="nil"/>
              <w:left w:val="nil"/>
              <w:bottom w:val="nil"/>
              <w:right w:val="nil"/>
            </w:tcBorders>
            <w:noWrap/>
            <w:vAlign w:val="center"/>
            <w:hideMark/>
          </w:tcPr>
          <w:p w14:paraId="3648C54A"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12.6 </w:t>
            </w:r>
          </w:p>
        </w:tc>
        <w:tc>
          <w:tcPr>
            <w:tcW w:w="1080" w:type="dxa"/>
            <w:tcBorders>
              <w:top w:val="nil"/>
              <w:left w:val="nil"/>
              <w:bottom w:val="nil"/>
              <w:right w:val="nil"/>
            </w:tcBorders>
            <w:noWrap/>
            <w:vAlign w:val="center"/>
            <w:hideMark/>
          </w:tcPr>
          <w:p w14:paraId="20C58732"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14.3 </w:t>
            </w:r>
          </w:p>
        </w:tc>
        <w:tc>
          <w:tcPr>
            <w:tcW w:w="1080" w:type="dxa"/>
            <w:tcBorders>
              <w:top w:val="nil"/>
              <w:left w:val="nil"/>
              <w:bottom w:val="nil"/>
              <w:right w:val="nil"/>
            </w:tcBorders>
            <w:noWrap/>
            <w:vAlign w:val="center"/>
            <w:hideMark/>
          </w:tcPr>
          <w:p w14:paraId="54E03E70"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16.1 </w:t>
            </w:r>
          </w:p>
        </w:tc>
        <w:tc>
          <w:tcPr>
            <w:tcW w:w="1080" w:type="dxa"/>
            <w:tcBorders>
              <w:top w:val="nil"/>
              <w:left w:val="nil"/>
              <w:bottom w:val="nil"/>
              <w:right w:val="nil"/>
            </w:tcBorders>
            <w:noWrap/>
            <w:vAlign w:val="center"/>
            <w:hideMark/>
          </w:tcPr>
          <w:p w14:paraId="39C82E26"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17.2 </w:t>
            </w:r>
          </w:p>
        </w:tc>
        <w:tc>
          <w:tcPr>
            <w:tcW w:w="1080" w:type="dxa"/>
            <w:tcBorders>
              <w:top w:val="nil"/>
              <w:left w:val="nil"/>
              <w:bottom w:val="nil"/>
              <w:right w:val="nil"/>
            </w:tcBorders>
            <w:noWrap/>
            <w:vAlign w:val="center"/>
            <w:hideMark/>
          </w:tcPr>
          <w:p w14:paraId="4F9F2B04"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18.8 </w:t>
            </w:r>
          </w:p>
        </w:tc>
        <w:tc>
          <w:tcPr>
            <w:tcW w:w="1080" w:type="dxa"/>
            <w:tcBorders>
              <w:top w:val="nil"/>
              <w:left w:val="nil"/>
              <w:bottom w:val="nil"/>
              <w:right w:val="nil"/>
            </w:tcBorders>
            <w:noWrap/>
            <w:vAlign w:val="center"/>
            <w:hideMark/>
          </w:tcPr>
          <w:p w14:paraId="28420FAC"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20.9 </w:t>
            </w:r>
          </w:p>
        </w:tc>
      </w:tr>
      <w:tr w:rsidR="000970D9" w:rsidRPr="00BB3D6B" w14:paraId="5EA9D6A8" w14:textId="77777777" w:rsidTr="005B7026">
        <w:trPr>
          <w:trHeight w:val="353"/>
        </w:trPr>
        <w:tc>
          <w:tcPr>
            <w:tcW w:w="1080" w:type="dxa"/>
            <w:tcBorders>
              <w:top w:val="nil"/>
              <w:left w:val="nil"/>
              <w:bottom w:val="nil"/>
              <w:right w:val="nil"/>
            </w:tcBorders>
            <w:noWrap/>
            <w:vAlign w:val="center"/>
            <w:hideMark/>
          </w:tcPr>
          <w:p w14:paraId="428ACE96"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2023</w:t>
            </w:r>
          </w:p>
        </w:tc>
        <w:tc>
          <w:tcPr>
            <w:tcW w:w="1080" w:type="dxa"/>
            <w:tcBorders>
              <w:top w:val="nil"/>
              <w:left w:val="nil"/>
              <w:bottom w:val="nil"/>
              <w:right w:val="nil"/>
            </w:tcBorders>
            <w:noWrap/>
            <w:vAlign w:val="center"/>
            <w:hideMark/>
          </w:tcPr>
          <w:p w14:paraId="622437F7"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12.7 </w:t>
            </w:r>
          </w:p>
        </w:tc>
        <w:tc>
          <w:tcPr>
            <w:tcW w:w="1080" w:type="dxa"/>
            <w:tcBorders>
              <w:top w:val="nil"/>
              <w:left w:val="nil"/>
              <w:bottom w:val="nil"/>
              <w:right w:val="nil"/>
            </w:tcBorders>
            <w:noWrap/>
            <w:vAlign w:val="center"/>
            <w:hideMark/>
          </w:tcPr>
          <w:p w14:paraId="2283F904"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15.3 </w:t>
            </w:r>
          </w:p>
        </w:tc>
        <w:tc>
          <w:tcPr>
            <w:tcW w:w="1080" w:type="dxa"/>
            <w:tcBorders>
              <w:top w:val="nil"/>
              <w:left w:val="nil"/>
              <w:bottom w:val="nil"/>
              <w:right w:val="nil"/>
            </w:tcBorders>
            <w:noWrap/>
            <w:vAlign w:val="center"/>
            <w:hideMark/>
          </w:tcPr>
          <w:p w14:paraId="3BF4D2B7"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16.0 </w:t>
            </w:r>
          </w:p>
        </w:tc>
        <w:tc>
          <w:tcPr>
            <w:tcW w:w="1080" w:type="dxa"/>
            <w:tcBorders>
              <w:top w:val="nil"/>
              <w:left w:val="nil"/>
              <w:bottom w:val="nil"/>
              <w:right w:val="nil"/>
            </w:tcBorders>
            <w:noWrap/>
            <w:vAlign w:val="center"/>
            <w:hideMark/>
          </w:tcPr>
          <w:p w14:paraId="3A447C2A"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17.3 </w:t>
            </w:r>
          </w:p>
        </w:tc>
        <w:tc>
          <w:tcPr>
            <w:tcW w:w="1080" w:type="dxa"/>
            <w:tcBorders>
              <w:top w:val="nil"/>
              <w:left w:val="nil"/>
              <w:bottom w:val="nil"/>
              <w:right w:val="nil"/>
            </w:tcBorders>
            <w:noWrap/>
            <w:vAlign w:val="center"/>
            <w:hideMark/>
          </w:tcPr>
          <w:p w14:paraId="705C2E3F"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18.7 </w:t>
            </w:r>
          </w:p>
        </w:tc>
        <w:tc>
          <w:tcPr>
            <w:tcW w:w="1080" w:type="dxa"/>
            <w:tcBorders>
              <w:top w:val="nil"/>
              <w:left w:val="nil"/>
              <w:bottom w:val="nil"/>
              <w:right w:val="nil"/>
            </w:tcBorders>
            <w:noWrap/>
            <w:vAlign w:val="center"/>
            <w:hideMark/>
          </w:tcPr>
          <w:p w14:paraId="1B6722AC"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19.7 </w:t>
            </w:r>
          </w:p>
        </w:tc>
      </w:tr>
      <w:tr w:rsidR="000970D9" w:rsidRPr="00BB3D6B" w14:paraId="2949D2BB" w14:textId="77777777" w:rsidTr="005B7026">
        <w:trPr>
          <w:trHeight w:val="353"/>
        </w:trPr>
        <w:tc>
          <w:tcPr>
            <w:tcW w:w="1080" w:type="dxa"/>
            <w:tcBorders>
              <w:top w:val="nil"/>
              <w:left w:val="nil"/>
              <w:bottom w:val="single" w:sz="4" w:space="0" w:color="auto"/>
              <w:right w:val="nil"/>
            </w:tcBorders>
            <w:noWrap/>
            <w:vAlign w:val="center"/>
            <w:hideMark/>
          </w:tcPr>
          <w:p w14:paraId="349CD162"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2024</w:t>
            </w:r>
          </w:p>
        </w:tc>
        <w:tc>
          <w:tcPr>
            <w:tcW w:w="1080" w:type="dxa"/>
            <w:tcBorders>
              <w:top w:val="nil"/>
              <w:left w:val="nil"/>
              <w:bottom w:val="single" w:sz="4" w:space="0" w:color="auto"/>
              <w:right w:val="nil"/>
            </w:tcBorders>
            <w:noWrap/>
            <w:vAlign w:val="center"/>
            <w:hideMark/>
          </w:tcPr>
          <w:p w14:paraId="7F197B15"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11.9 </w:t>
            </w:r>
          </w:p>
        </w:tc>
        <w:tc>
          <w:tcPr>
            <w:tcW w:w="1080" w:type="dxa"/>
            <w:tcBorders>
              <w:top w:val="nil"/>
              <w:left w:val="nil"/>
              <w:bottom w:val="single" w:sz="4" w:space="0" w:color="auto"/>
              <w:right w:val="nil"/>
            </w:tcBorders>
            <w:noWrap/>
            <w:vAlign w:val="center"/>
            <w:hideMark/>
          </w:tcPr>
          <w:p w14:paraId="0F93D6B5"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15.5 </w:t>
            </w:r>
          </w:p>
        </w:tc>
        <w:tc>
          <w:tcPr>
            <w:tcW w:w="1080" w:type="dxa"/>
            <w:tcBorders>
              <w:top w:val="nil"/>
              <w:left w:val="nil"/>
              <w:bottom w:val="single" w:sz="4" w:space="0" w:color="auto"/>
              <w:right w:val="nil"/>
            </w:tcBorders>
            <w:noWrap/>
            <w:vAlign w:val="center"/>
            <w:hideMark/>
          </w:tcPr>
          <w:p w14:paraId="35A09DD2"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16.0 </w:t>
            </w:r>
          </w:p>
        </w:tc>
        <w:tc>
          <w:tcPr>
            <w:tcW w:w="1080" w:type="dxa"/>
            <w:tcBorders>
              <w:top w:val="nil"/>
              <w:left w:val="nil"/>
              <w:bottom w:val="single" w:sz="4" w:space="0" w:color="auto"/>
              <w:right w:val="nil"/>
            </w:tcBorders>
            <w:noWrap/>
            <w:vAlign w:val="center"/>
            <w:hideMark/>
          </w:tcPr>
          <w:p w14:paraId="6DD34060"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16.8 </w:t>
            </w:r>
          </w:p>
        </w:tc>
        <w:tc>
          <w:tcPr>
            <w:tcW w:w="1080" w:type="dxa"/>
            <w:tcBorders>
              <w:top w:val="nil"/>
              <w:left w:val="nil"/>
              <w:bottom w:val="single" w:sz="4" w:space="0" w:color="auto"/>
              <w:right w:val="nil"/>
            </w:tcBorders>
            <w:noWrap/>
            <w:vAlign w:val="center"/>
            <w:hideMark/>
          </w:tcPr>
          <w:p w14:paraId="5C59A0D4"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17.9 </w:t>
            </w:r>
          </w:p>
        </w:tc>
        <w:tc>
          <w:tcPr>
            <w:tcW w:w="1080" w:type="dxa"/>
            <w:tcBorders>
              <w:top w:val="nil"/>
              <w:left w:val="nil"/>
              <w:bottom w:val="single" w:sz="4" w:space="0" w:color="auto"/>
              <w:right w:val="nil"/>
            </w:tcBorders>
            <w:noWrap/>
            <w:vAlign w:val="center"/>
            <w:hideMark/>
          </w:tcPr>
          <w:p w14:paraId="757BCBE4" w14:textId="77777777" w:rsidR="000970D9" w:rsidRPr="00BB3D6B" w:rsidRDefault="000970D9" w:rsidP="005B7026">
            <w:pPr>
              <w:widowControl/>
              <w:jc w:val="right"/>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19.3 </w:t>
            </w:r>
          </w:p>
        </w:tc>
      </w:tr>
    </w:tbl>
    <w:p w14:paraId="10260ECD" w14:textId="77777777" w:rsidR="000970D9" w:rsidRPr="00BB3D6B" w:rsidRDefault="000970D9" w:rsidP="000970D9">
      <w:pPr>
        <w:rPr>
          <w:rFonts w:ascii="Times New Roman" w:hAnsi="Times New Roman" w:cs="Times New Roman"/>
          <w:sz w:val="24"/>
          <w:szCs w:val="24"/>
        </w:rPr>
      </w:pPr>
    </w:p>
    <w:p w14:paraId="1F129129" w14:textId="77777777" w:rsidR="000970D9" w:rsidRPr="00BB3D6B" w:rsidRDefault="000970D9" w:rsidP="000970D9">
      <w:pPr>
        <w:rPr>
          <w:rFonts w:ascii="Times New Roman" w:hAnsi="Times New Roman" w:cs="Times New Roman"/>
          <w:sz w:val="24"/>
          <w:szCs w:val="24"/>
        </w:rPr>
      </w:pPr>
    </w:p>
    <w:p w14:paraId="26579EB3" w14:textId="77777777" w:rsidR="000970D9" w:rsidRPr="00BB3D6B" w:rsidRDefault="000970D9" w:rsidP="000970D9">
      <w:pPr>
        <w:rPr>
          <w:rFonts w:ascii="Times New Roman" w:hAnsi="Times New Roman" w:cs="Times New Roman"/>
          <w:sz w:val="24"/>
          <w:szCs w:val="24"/>
        </w:rPr>
      </w:pPr>
      <w:r w:rsidRPr="00BB3D6B">
        <w:rPr>
          <w:rFonts w:ascii="Times New Roman" w:hAnsi="Times New Roman" w:cs="Times New Roman"/>
          <w:sz w:val="24"/>
          <w:szCs w:val="24"/>
        </w:rPr>
        <w:t>Table 2. Mean weight at age of Japanese sardine from the Japanese domestic stock assessment of the Pacific stock of Japanese sardine.</w:t>
      </w:r>
    </w:p>
    <w:tbl>
      <w:tblPr>
        <w:tblW w:w="7560" w:type="dxa"/>
        <w:tblCellMar>
          <w:left w:w="99" w:type="dxa"/>
          <w:right w:w="99" w:type="dxa"/>
        </w:tblCellMar>
        <w:tblLook w:val="04A0" w:firstRow="1" w:lastRow="0" w:firstColumn="1" w:lastColumn="0" w:noHBand="0" w:noVBand="1"/>
      </w:tblPr>
      <w:tblGrid>
        <w:gridCol w:w="1080"/>
        <w:gridCol w:w="1080"/>
        <w:gridCol w:w="1080"/>
        <w:gridCol w:w="1080"/>
        <w:gridCol w:w="1080"/>
        <w:gridCol w:w="1080"/>
        <w:gridCol w:w="1080"/>
      </w:tblGrid>
      <w:tr w:rsidR="000970D9" w:rsidRPr="00BB3D6B" w14:paraId="6D4F14B4" w14:textId="77777777" w:rsidTr="005B7026">
        <w:trPr>
          <w:trHeight w:val="353"/>
        </w:trPr>
        <w:tc>
          <w:tcPr>
            <w:tcW w:w="1080" w:type="dxa"/>
            <w:tcBorders>
              <w:top w:val="single" w:sz="4" w:space="0" w:color="auto"/>
              <w:left w:val="nil"/>
              <w:bottom w:val="single" w:sz="4" w:space="0" w:color="auto"/>
              <w:right w:val="nil"/>
            </w:tcBorders>
            <w:noWrap/>
            <w:vAlign w:val="center"/>
            <w:hideMark/>
          </w:tcPr>
          <w:p w14:paraId="0A6FF37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Year</w:t>
            </w:r>
          </w:p>
        </w:tc>
        <w:tc>
          <w:tcPr>
            <w:tcW w:w="1080" w:type="dxa"/>
            <w:tcBorders>
              <w:top w:val="single" w:sz="4" w:space="0" w:color="auto"/>
              <w:left w:val="nil"/>
              <w:bottom w:val="single" w:sz="4" w:space="0" w:color="auto"/>
              <w:right w:val="nil"/>
            </w:tcBorders>
            <w:noWrap/>
            <w:vAlign w:val="center"/>
            <w:hideMark/>
          </w:tcPr>
          <w:p w14:paraId="03DC3683"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Age_0</w:t>
            </w:r>
          </w:p>
        </w:tc>
        <w:tc>
          <w:tcPr>
            <w:tcW w:w="1080" w:type="dxa"/>
            <w:tcBorders>
              <w:top w:val="single" w:sz="4" w:space="0" w:color="auto"/>
              <w:left w:val="nil"/>
              <w:bottom w:val="single" w:sz="4" w:space="0" w:color="auto"/>
              <w:right w:val="nil"/>
            </w:tcBorders>
            <w:noWrap/>
            <w:vAlign w:val="center"/>
            <w:hideMark/>
          </w:tcPr>
          <w:p w14:paraId="3223F2FE"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Age_1</w:t>
            </w:r>
          </w:p>
        </w:tc>
        <w:tc>
          <w:tcPr>
            <w:tcW w:w="1080" w:type="dxa"/>
            <w:tcBorders>
              <w:top w:val="single" w:sz="4" w:space="0" w:color="auto"/>
              <w:left w:val="nil"/>
              <w:bottom w:val="single" w:sz="4" w:space="0" w:color="auto"/>
              <w:right w:val="nil"/>
            </w:tcBorders>
            <w:noWrap/>
            <w:vAlign w:val="center"/>
            <w:hideMark/>
          </w:tcPr>
          <w:p w14:paraId="282DC4FB"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Age_2</w:t>
            </w:r>
          </w:p>
        </w:tc>
        <w:tc>
          <w:tcPr>
            <w:tcW w:w="1080" w:type="dxa"/>
            <w:tcBorders>
              <w:top w:val="single" w:sz="4" w:space="0" w:color="auto"/>
              <w:left w:val="nil"/>
              <w:bottom w:val="single" w:sz="4" w:space="0" w:color="auto"/>
              <w:right w:val="nil"/>
            </w:tcBorders>
            <w:noWrap/>
            <w:vAlign w:val="center"/>
            <w:hideMark/>
          </w:tcPr>
          <w:p w14:paraId="7EEA8854"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Age_3</w:t>
            </w:r>
          </w:p>
        </w:tc>
        <w:tc>
          <w:tcPr>
            <w:tcW w:w="1080" w:type="dxa"/>
            <w:tcBorders>
              <w:top w:val="single" w:sz="4" w:space="0" w:color="auto"/>
              <w:left w:val="nil"/>
              <w:bottom w:val="single" w:sz="4" w:space="0" w:color="auto"/>
              <w:right w:val="nil"/>
            </w:tcBorders>
            <w:noWrap/>
            <w:vAlign w:val="center"/>
            <w:hideMark/>
          </w:tcPr>
          <w:p w14:paraId="067CF2B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Age_4</w:t>
            </w:r>
          </w:p>
        </w:tc>
        <w:tc>
          <w:tcPr>
            <w:tcW w:w="1080" w:type="dxa"/>
            <w:tcBorders>
              <w:top w:val="single" w:sz="4" w:space="0" w:color="auto"/>
              <w:left w:val="nil"/>
              <w:bottom w:val="single" w:sz="4" w:space="0" w:color="auto"/>
              <w:right w:val="nil"/>
            </w:tcBorders>
            <w:noWrap/>
            <w:vAlign w:val="center"/>
            <w:hideMark/>
          </w:tcPr>
          <w:p w14:paraId="0278BF49"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Age_5</w:t>
            </w:r>
          </w:p>
        </w:tc>
      </w:tr>
      <w:tr w:rsidR="000970D9" w:rsidRPr="00BB3D6B" w14:paraId="2E970738" w14:textId="77777777" w:rsidTr="005B7026">
        <w:trPr>
          <w:trHeight w:val="353"/>
        </w:trPr>
        <w:tc>
          <w:tcPr>
            <w:tcW w:w="1080" w:type="dxa"/>
            <w:tcBorders>
              <w:top w:val="nil"/>
              <w:left w:val="nil"/>
              <w:bottom w:val="nil"/>
              <w:right w:val="nil"/>
            </w:tcBorders>
            <w:noWrap/>
            <w:vAlign w:val="center"/>
            <w:hideMark/>
          </w:tcPr>
          <w:p w14:paraId="0DDA3EA6"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2014</w:t>
            </w:r>
          </w:p>
        </w:tc>
        <w:tc>
          <w:tcPr>
            <w:tcW w:w="1080" w:type="dxa"/>
            <w:tcBorders>
              <w:top w:val="nil"/>
              <w:left w:val="nil"/>
              <w:bottom w:val="nil"/>
              <w:right w:val="nil"/>
            </w:tcBorders>
            <w:noWrap/>
            <w:vAlign w:val="center"/>
            <w:hideMark/>
          </w:tcPr>
          <w:p w14:paraId="08A21716"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24.0 </w:t>
            </w:r>
          </w:p>
        </w:tc>
        <w:tc>
          <w:tcPr>
            <w:tcW w:w="1080" w:type="dxa"/>
            <w:tcBorders>
              <w:top w:val="nil"/>
              <w:left w:val="nil"/>
              <w:bottom w:val="nil"/>
              <w:right w:val="nil"/>
            </w:tcBorders>
            <w:noWrap/>
            <w:vAlign w:val="center"/>
            <w:hideMark/>
          </w:tcPr>
          <w:p w14:paraId="4D5C63F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50.8 </w:t>
            </w:r>
          </w:p>
        </w:tc>
        <w:tc>
          <w:tcPr>
            <w:tcW w:w="1080" w:type="dxa"/>
            <w:tcBorders>
              <w:top w:val="nil"/>
              <w:left w:val="nil"/>
              <w:bottom w:val="nil"/>
              <w:right w:val="nil"/>
            </w:tcBorders>
            <w:noWrap/>
            <w:vAlign w:val="center"/>
            <w:hideMark/>
          </w:tcPr>
          <w:p w14:paraId="6C748ED7"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95.3 </w:t>
            </w:r>
          </w:p>
        </w:tc>
        <w:tc>
          <w:tcPr>
            <w:tcW w:w="1080" w:type="dxa"/>
            <w:tcBorders>
              <w:top w:val="nil"/>
              <w:left w:val="nil"/>
              <w:bottom w:val="nil"/>
              <w:right w:val="nil"/>
            </w:tcBorders>
            <w:noWrap/>
            <w:vAlign w:val="center"/>
            <w:hideMark/>
          </w:tcPr>
          <w:p w14:paraId="4E98B535"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118.3 </w:t>
            </w:r>
          </w:p>
        </w:tc>
        <w:tc>
          <w:tcPr>
            <w:tcW w:w="1080" w:type="dxa"/>
            <w:tcBorders>
              <w:top w:val="nil"/>
              <w:left w:val="nil"/>
              <w:bottom w:val="nil"/>
              <w:right w:val="nil"/>
            </w:tcBorders>
            <w:noWrap/>
            <w:vAlign w:val="center"/>
            <w:hideMark/>
          </w:tcPr>
          <w:p w14:paraId="536C89B2"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126.3 </w:t>
            </w:r>
          </w:p>
        </w:tc>
        <w:tc>
          <w:tcPr>
            <w:tcW w:w="1080" w:type="dxa"/>
            <w:tcBorders>
              <w:top w:val="nil"/>
              <w:left w:val="nil"/>
              <w:bottom w:val="nil"/>
              <w:right w:val="nil"/>
            </w:tcBorders>
            <w:noWrap/>
            <w:vAlign w:val="center"/>
            <w:hideMark/>
          </w:tcPr>
          <w:p w14:paraId="05EB4A8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155.4 </w:t>
            </w:r>
          </w:p>
        </w:tc>
      </w:tr>
      <w:tr w:rsidR="000970D9" w:rsidRPr="00BB3D6B" w14:paraId="555EAB64" w14:textId="77777777" w:rsidTr="005B7026">
        <w:trPr>
          <w:trHeight w:val="353"/>
        </w:trPr>
        <w:tc>
          <w:tcPr>
            <w:tcW w:w="1080" w:type="dxa"/>
            <w:tcBorders>
              <w:top w:val="nil"/>
              <w:left w:val="nil"/>
              <w:bottom w:val="nil"/>
              <w:right w:val="nil"/>
            </w:tcBorders>
            <w:noWrap/>
            <w:vAlign w:val="center"/>
            <w:hideMark/>
          </w:tcPr>
          <w:p w14:paraId="72FCB194"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2015</w:t>
            </w:r>
          </w:p>
        </w:tc>
        <w:tc>
          <w:tcPr>
            <w:tcW w:w="1080" w:type="dxa"/>
            <w:tcBorders>
              <w:top w:val="nil"/>
              <w:left w:val="nil"/>
              <w:bottom w:val="nil"/>
              <w:right w:val="nil"/>
            </w:tcBorders>
            <w:noWrap/>
            <w:vAlign w:val="center"/>
            <w:hideMark/>
          </w:tcPr>
          <w:p w14:paraId="63356A7B"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18.4 </w:t>
            </w:r>
          </w:p>
        </w:tc>
        <w:tc>
          <w:tcPr>
            <w:tcW w:w="1080" w:type="dxa"/>
            <w:tcBorders>
              <w:top w:val="nil"/>
              <w:left w:val="nil"/>
              <w:bottom w:val="nil"/>
              <w:right w:val="nil"/>
            </w:tcBorders>
            <w:noWrap/>
            <w:vAlign w:val="center"/>
            <w:hideMark/>
          </w:tcPr>
          <w:p w14:paraId="1342EA4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41.3 </w:t>
            </w:r>
          </w:p>
        </w:tc>
        <w:tc>
          <w:tcPr>
            <w:tcW w:w="1080" w:type="dxa"/>
            <w:tcBorders>
              <w:top w:val="nil"/>
              <w:left w:val="nil"/>
              <w:bottom w:val="nil"/>
              <w:right w:val="nil"/>
            </w:tcBorders>
            <w:noWrap/>
            <w:vAlign w:val="center"/>
            <w:hideMark/>
          </w:tcPr>
          <w:p w14:paraId="09231185"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95.9 </w:t>
            </w:r>
          </w:p>
        </w:tc>
        <w:tc>
          <w:tcPr>
            <w:tcW w:w="1080" w:type="dxa"/>
            <w:tcBorders>
              <w:top w:val="nil"/>
              <w:left w:val="nil"/>
              <w:bottom w:val="nil"/>
              <w:right w:val="nil"/>
            </w:tcBorders>
            <w:noWrap/>
            <w:vAlign w:val="center"/>
            <w:hideMark/>
          </w:tcPr>
          <w:p w14:paraId="2163DFB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127.0 </w:t>
            </w:r>
          </w:p>
        </w:tc>
        <w:tc>
          <w:tcPr>
            <w:tcW w:w="1080" w:type="dxa"/>
            <w:tcBorders>
              <w:top w:val="nil"/>
              <w:left w:val="nil"/>
              <w:bottom w:val="nil"/>
              <w:right w:val="nil"/>
            </w:tcBorders>
            <w:noWrap/>
            <w:vAlign w:val="center"/>
            <w:hideMark/>
          </w:tcPr>
          <w:p w14:paraId="0F8AB632"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131.5 </w:t>
            </w:r>
          </w:p>
        </w:tc>
        <w:tc>
          <w:tcPr>
            <w:tcW w:w="1080" w:type="dxa"/>
            <w:tcBorders>
              <w:top w:val="nil"/>
              <w:left w:val="nil"/>
              <w:bottom w:val="nil"/>
              <w:right w:val="nil"/>
            </w:tcBorders>
            <w:noWrap/>
            <w:vAlign w:val="center"/>
            <w:hideMark/>
          </w:tcPr>
          <w:p w14:paraId="577C448D"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142.2 </w:t>
            </w:r>
          </w:p>
        </w:tc>
      </w:tr>
      <w:tr w:rsidR="000970D9" w:rsidRPr="00BB3D6B" w14:paraId="25146165" w14:textId="77777777" w:rsidTr="005B7026">
        <w:trPr>
          <w:trHeight w:val="353"/>
        </w:trPr>
        <w:tc>
          <w:tcPr>
            <w:tcW w:w="1080" w:type="dxa"/>
            <w:tcBorders>
              <w:top w:val="nil"/>
              <w:left w:val="nil"/>
              <w:bottom w:val="nil"/>
              <w:right w:val="nil"/>
            </w:tcBorders>
            <w:noWrap/>
            <w:vAlign w:val="center"/>
            <w:hideMark/>
          </w:tcPr>
          <w:p w14:paraId="2BE1F0D3"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2016</w:t>
            </w:r>
          </w:p>
        </w:tc>
        <w:tc>
          <w:tcPr>
            <w:tcW w:w="1080" w:type="dxa"/>
            <w:tcBorders>
              <w:top w:val="nil"/>
              <w:left w:val="nil"/>
              <w:bottom w:val="nil"/>
              <w:right w:val="nil"/>
            </w:tcBorders>
            <w:noWrap/>
            <w:vAlign w:val="center"/>
            <w:hideMark/>
          </w:tcPr>
          <w:p w14:paraId="15E08BC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20.6 </w:t>
            </w:r>
          </w:p>
        </w:tc>
        <w:tc>
          <w:tcPr>
            <w:tcW w:w="1080" w:type="dxa"/>
            <w:tcBorders>
              <w:top w:val="nil"/>
              <w:left w:val="nil"/>
              <w:bottom w:val="nil"/>
              <w:right w:val="nil"/>
            </w:tcBorders>
            <w:noWrap/>
            <w:vAlign w:val="center"/>
            <w:hideMark/>
          </w:tcPr>
          <w:p w14:paraId="625FCCF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47.7 </w:t>
            </w:r>
          </w:p>
        </w:tc>
        <w:tc>
          <w:tcPr>
            <w:tcW w:w="1080" w:type="dxa"/>
            <w:tcBorders>
              <w:top w:val="nil"/>
              <w:left w:val="nil"/>
              <w:bottom w:val="nil"/>
              <w:right w:val="nil"/>
            </w:tcBorders>
            <w:noWrap/>
            <w:vAlign w:val="center"/>
            <w:hideMark/>
          </w:tcPr>
          <w:p w14:paraId="104771AF"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79.2 </w:t>
            </w:r>
          </w:p>
        </w:tc>
        <w:tc>
          <w:tcPr>
            <w:tcW w:w="1080" w:type="dxa"/>
            <w:tcBorders>
              <w:top w:val="nil"/>
              <w:left w:val="nil"/>
              <w:bottom w:val="nil"/>
              <w:right w:val="nil"/>
            </w:tcBorders>
            <w:noWrap/>
            <w:vAlign w:val="center"/>
            <w:hideMark/>
          </w:tcPr>
          <w:p w14:paraId="1FE0F867"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112.2 </w:t>
            </w:r>
          </w:p>
        </w:tc>
        <w:tc>
          <w:tcPr>
            <w:tcW w:w="1080" w:type="dxa"/>
            <w:tcBorders>
              <w:top w:val="nil"/>
              <w:left w:val="nil"/>
              <w:bottom w:val="nil"/>
              <w:right w:val="nil"/>
            </w:tcBorders>
            <w:noWrap/>
            <w:vAlign w:val="center"/>
            <w:hideMark/>
          </w:tcPr>
          <w:p w14:paraId="14A6593E"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122.0 </w:t>
            </w:r>
          </w:p>
        </w:tc>
        <w:tc>
          <w:tcPr>
            <w:tcW w:w="1080" w:type="dxa"/>
            <w:tcBorders>
              <w:top w:val="nil"/>
              <w:left w:val="nil"/>
              <w:bottom w:val="nil"/>
              <w:right w:val="nil"/>
            </w:tcBorders>
            <w:noWrap/>
            <w:vAlign w:val="center"/>
            <w:hideMark/>
          </w:tcPr>
          <w:p w14:paraId="4CBA607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139.0 </w:t>
            </w:r>
          </w:p>
        </w:tc>
      </w:tr>
      <w:tr w:rsidR="000970D9" w:rsidRPr="00BB3D6B" w14:paraId="4DECA153" w14:textId="77777777" w:rsidTr="005B7026">
        <w:trPr>
          <w:trHeight w:val="353"/>
        </w:trPr>
        <w:tc>
          <w:tcPr>
            <w:tcW w:w="1080" w:type="dxa"/>
            <w:tcBorders>
              <w:top w:val="nil"/>
              <w:left w:val="nil"/>
              <w:bottom w:val="nil"/>
              <w:right w:val="nil"/>
            </w:tcBorders>
            <w:noWrap/>
            <w:vAlign w:val="center"/>
            <w:hideMark/>
          </w:tcPr>
          <w:p w14:paraId="19E92C32"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2017</w:t>
            </w:r>
          </w:p>
        </w:tc>
        <w:tc>
          <w:tcPr>
            <w:tcW w:w="1080" w:type="dxa"/>
            <w:tcBorders>
              <w:top w:val="nil"/>
              <w:left w:val="nil"/>
              <w:bottom w:val="nil"/>
              <w:right w:val="nil"/>
            </w:tcBorders>
            <w:noWrap/>
            <w:vAlign w:val="center"/>
            <w:hideMark/>
          </w:tcPr>
          <w:p w14:paraId="21513F1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13.8 </w:t>
            </w:r>
          </w:p>
        </w:tc>
        <w:tc>
          <w:tcPr>
            <w:tcW w:w="1080" w:type="dxa"/>
            <w:tcBorders>
              <w:top w:val="nil"/>
              <w:left w:val="nil"/>
              <w:bottom w:val="nil"/>
              <w:right w:val="nil"/>
            </w:tcBorders>
            <w:noWrap/>
            <w:vAlign w:val="center"/>
            <w:hideMark/>
          </w:tcPr>
          <w:p w14:paraId="44EE801E"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50.5 </w:t>
            </w:r>
          </w:p>
        </w:tc>
        <w:tc>
          <w:tcPr>
            <w:tcW w:w="1080" w:type="dxa"/>
            <w:tcBorders>
              <w:top w:val="nil"/>
              <w:left w:val="nil"/>
              <w:bottom w:val="nil"/>
              <w:right w:val="nil"/>
            </w:tcBorders>
            <w:noWrap/>
            <w:vAlign w:val="center"/>
            <w:hideMark/>
          </w:tcPr>
          <w:p w14:paraId="0CB5D72B"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91.5 </w:t>
            </w:r>
          </w:p>
        </w:tc>
        <w:tc>
          <w:tcPr>
            <w:tcW w:w="1080" w:type="dxa"/>
            <w:tcBorders>
              <w:top w:val="nil"/>
              <w:left w:val="nil"/>
              <w:bottom w:val="nil"/>
              <w:right w:val="nil"/>
            </w:tcBorders>
            <w:noWrap/>
            <w:vAlign w:val="center"/>
            <w:hideMark/>
          </w:tcPr>
          <w:p w14:paraId="370C3F0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107.6 </w:t>
            </w:r>
          </w:p>
        </w:tc>
        <w:tc>
          <w:tcPr>
            <w:tcW w:w="1080" w:type="dxa"/>
            <w:tcBorders>
              <w:top w:val="nil"/>
              <w:left w:val="nil"/>
              <w:bottom w:val="nil"/>
              <w:right w:val="nil"/>
            </w:tcBorders>
            <w:noWrap/>
            <w:vAlign w:val="center"/>
            <w:hideMark/>
          </w:tcPr>
          <w:p w14:paraId="6BDB9290"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130.1 </w:t>
            </w:r>
          </w:p>
        </w:tc>
        <w:tc>
          <w:tcPr>
            <w:tcW w:w="1080" w:type="dxa"/>
            <w:tcBorders>
              <w:top w:val="nil"/>
              <w:left w:val="nil"/>
              <w:bottom w:val="nil"/>
              <w:right w:val="nil"/>
            </w:tcBorders>
            <w:noWrap/>
            <w:vAlign w:val="center"/>
            <w:hideMark/>
          </w:tcPr>
          <w:p w14:paraId="61928B0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143.0 </w:t>
            </w:r>
          </w:p>
        </w:tc>
      </w:tr>
      <w:tr w:rsidR="000970D9" w:rsidRPr="00BB3D6B" w14:paraId="43D9D380" w14:textId="77777777" w:rsidTr="005B7026">
        <w:trPr>
          <w:trHeight w:val="353"/>
        </w:trPr>
        <w:tc>
          <w:tcPr>
            <w:tcW w:w="1080" w:type="dxa"/>
            <w:tcBorders>
              <w:top w:val="nil"/>
              <w:left w:val="nil"/>
              <w:bottom w:val="nil"/>
              <w:right w:val="nil"/>
            </w:tcBorders>
            <w:noWrap/>
            <w:vAlign w:val="center"/>
            <w:hideMark/>
          </w:tcPr>
          <w:p w14:paraId="09F5CAD1"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2018</w:t>
            </w:r>
          </w:p>
        </w:tc>
        <w:tc>
          <w:tcPr>
            <w:tcW w:w="1080" w:type="dxa"/>
            <w:tcBorders>
              <w:top w:val="nil"/>
              <w:left w:val="nil"/>
              <w:bottom w:val="nil"/>
              <w:right w:val="nil"/>
            </w:tcBorders>
            <w:noWrap/>
            <w:vAlign w:val="center"/>
            <w:hideMark/>
          </w:tcPr>
          <w:p w14:paraId="3572695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17.0 </w:t>
            </w:r>
          </w:p>
        </w:tc>
        <w:tc>
          <w:tcPr>
            <w:tcW w:w="1080" w:type="dxa"/>
            <w:tcBorders>
              <w:top w:val="nil"/>
              <w:left w:val="nil"/>
              <w:bottom w:val="nil"/>
              <w:right w:val="nil"/>
            </w:tcBorders>
            <w:noWrap/>
            <w:vAlign w:val="center"/>
            <w:hideMark/>
          </w:tcPr>
          <w:p w14:paraId="014068BB"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41.2 </w:t>
            </w:r>
          </w:p>
        </w:tc>
        <w:tc>
          <w:tcPr>
            <w:tcW w:w="1080" w:type="dxa"/>
            <w:tcBorders>
              <w:top w:val="nil"/>
              <w:left w:val="nil"/>
              <w:bottom w:val="nil"/>
              <w:right w:val="nil"/>
            </w:tcBorders>
            <w:noWrap/>
            <w:vAlign w:val="center"/>
            <w:hideMark/>
          </w:tcPr>
          <w:p w14:paraId="1EFE88E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72.1 </w:t>
            </w:r>
          </w:p>
        </w:tc>
        <w:tc>
          <w:tcPr>
            <w:tcW w:w="1080" w:type="dxa"/>
            <w:tcBorders>
              <w:top w:val="nil"/>
              <w:left w:val="nil"/>
              <w:bottom w:val="nil"/>
              <w:right w:val="nil"/>
            </w:tcBorders>
            <w:noWrap/>
            <w:vAlign w:val="center"/>
            <w:hideMark/>
          </w:tcPr>
          <w:p w14:paraId="25D6DDE3"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92.5 </w:t>
            </w:r>
          </w:p>
        </w:tc>
        <w:tc>
          <w:tcPr>
            <w:tcW w:w="1080" w:type="dxa"/>
            <w:tcBorders>
              <w:top w:val="nil"/>
              <w:left w:val="nil"/>
              <w:bottom w:val="nil"/>
              <w:right w:val="nil"/>
            </w:tcBorders>
            <w:noWrap/>
            <w:vAlign w:val="center"/>
            <w:hideMark/>
          </w:tcPr>
          <w:p w14:paraId="3F0B15E2"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108.1 </w:t>
            </w:r>
          </w:p>
        </w:tc>
        <w:tc>
          <w:tcPr>
            <w:tcW w:w="1080" w:type="dxa"/>
            <w:tcBorders>
              <w:top w:val="nil"/>
              <w:left w:val="nil"/>
              <w:bottom w:val="nil"/>
              <w:right w:val="nil"/>
            </w:tcBorders>
            <w:noWrap/>
            <w:vAlign w:val="center"/>
            <w:hideMark/>
          </w:tcPr>
          <w:p w14:paraId="27535B14"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131.9 </w:t>
            </w:r>
          </w:p>
        </w:tc>
      </w:tr>
      <w:tr w:rsidR="000970D9" w:rsidRPr="00BB3D6B" w14:paraId="4084AB01" w14:textId="77777777" w:rsidTr="005B7026">
        <w:trPr>
          <w:trHeight w:val="353"/>
        </w:trPr>
        <w:tc>
          <w:tcPr>
            <w:tcW w:w="1080" w:type="dxa"/>
            <w:tcBorders>
              <w:top w:val="nil"/>
              <w:left w:val="nil"/>
              <w:bottom w:val="nil"/>
              <w:right w:val="nil"/>
            </w:tcBorders>
            <w:noWrap/>
            <w:vAlign w:val="center"/>
            <w:hideMark/>
          </w:tcPr>
          <w:p w14:paraId="1693A90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2019</w:t>
            </w:r>
          </w:p>
        </w:tc>
        <w:tc>
          <w:tcPr>
            <w:tcW w:w="1080" w:type="dxa"/>
            <w:tcBorders>
              <w:top w:val="nil"/>
              <w:left w:val="nil"/>
              <w:bottom w:val="nil"/>
              <w:right w:val="nil"/>
            </w:tcBorders>
            <w:noWrap/>
            <w:vAlign w:val="center"/>
            <w:hideMark/>
          </w:tcPr>
          <w:p w14:paraId="39C8F924"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15.6 </w:t>
            </w:r>
          </w:p>
        </w:tc>
        <w:tc>
          <w:tcPr>
            <w:tcW w:w="1080" w:type="dxa"/>
            <w:tcBorders>
              <w:top w:val="nil"/>
              <w:left w:val="nil"/>
              <w:bottom w:val="nil"/>
              <w:right w:val="nil"/>
            </w:tcBorders>
            <w:noWrap/>
            <w:vAlign w:val="center"/>
            <w:hideMark/>
          </w:tcPr>
          <w:p w14:paraId="6E0AB45D"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40.4 </w:t>
            </w:r>
          </w:p>
        </w:tc>
        <w:tc>
          <w:tcPr>
            <w:tcW w:w="1080" w:type="dxa"/>
            <w:tcBorders>
              <w:top w:val="nil"/>
              <w:left w:val="nil"/>
              <w:bottom w:val="nil"/>
              <w:right w:val="nil"/>
            </w:tcBorders>
            <w:noWrap/>
            <w:vAlign w:val="center"/>
            <w:hideMark/>
          </w:tcPr>
          <w:p w14:paraId="2BB64F45"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56.6 </w:t>
            </w:r>
          </w:p>
        </w:tc>
        <w:tc>
          <w:tcPr>
            <w:tcW w:w="1080" w:type="dxa"/>
            <w:tcBorders>
              <w:top w:val="nil"/>
              <w:left w:val="nil"/>
              <w:bottom w:val="nil"/>
              <w:right w:val="nil"/>
            </w:tcBorders>
            <w:noWrap/>
            <w:vAlign w:val="center"/>
            <w:hideMark/>
          </w:tcPr>
          <w:p w14:paraId="0C0BCAB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84.9 </w:t>
            </w:r>
          </w:p>
        </w:tc>
        <w:tc>
          <w:tcPr>
            <w:tcW w:w="1080" w:type="dxa"/>
            <w:tcBorders>
              <w:top w:val="nil"/>
              <w:left w:val="nil"/>
              <w:bottom w:val="nil"/>
              <w:right w:val="nil"/>
            </w:tcBorders>
            <w:noWrap/>
            <w:vAlign w:val="center"/>
            <w:hideMark/>
          </w:tcPr>
          <w:p w14:paraId="3B6D386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100.7 </w:t>
            </w:r>
          </w:p>
        </w:tc>
        <w:tc>
          <w:tcPr>
            <w:tcW w:w="1080" w:type="dxa"/>
            <w:tcBorders>
              <w:top w:val="nil"/>
              <w:left w:val="nil"/>
              <w:bottom w:val="nil"/>
              <w:right w:val="nil"/>
            </w:tcBorders>
            <w:noWrap/>
            <w:vAlign w:val="center"/>
            <w:hideMark/>
          </w:tcPr>
          <w:p w14:paraId="6819CAC4"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118.5 </w:t>
            </w:r>
          </w:p>
        </w:tc>
      </w:tr>
      <w:tr w:rsidR="000970D9" w:rsidRPr="00BB3D6B" w14:paraId="655FC15A" w14:textId="77777777" w:rsidTr="005B7026">
        <w:trPr>
          <w:trHeight w:val="353"/>
        </w:trPr>
        <w:tc>
          <w:tcPr>
            <w:tcW w:w="1080" w:type="dxa"/>
            <w:tcBorders>
              <w:top w:val="nil"/>
              <w:left w:val="nil"/>
              <w:bottom w:val="nil"/>
              <w:right w:val="nil"/>
            </w:tcBorders>
            <w:noWrap/>
            <w:vAlign w:val="center"/>
            <w:hideMark/>
          </w:tcPr>
          <w:p w14:paraId="3CA10B1F"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2020</w:t>
            </w:r>
          </w:p>
        </w:tc>
        <w:tc>
          <w:tcPr>
            <w:tcW w:w="1080" w:type="dxa"/>
            <w:tcBorders>
              <w:top w:val="nil"/>
              <w:left w:val="nil"/>
              <w:bottom w:val="nil"/>
              <w:right w:val="nil"/>
            </w:tcBorders>
            <w:noWrap/>
            <w:vAlign w:val="center"/>
            <w:hideMark/>
          </w:tcPr>
          <w:p w14:paraId="0934823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15.4 </w:t>
            </w:r>
          </w:p>
        </w:tc>
        <w:tc>
          <w:tcPr>
            <w:tcW w:w="1080" w:type="dxa"/>
            <w:tcBorders>
              <w:top w:val="nil"/>
              <w:left w:val="nil"/>
              <w:bottom w:val="nil"/>
              <w:right w:val="nil"/>
            </w:tcBorders>
            <w:noWrap/>
            <w:vAlign w:val="center"/>
            <w:hideMark/>
          </w:tcPr>
          <w:p w14:paraId="3E749601"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41.2 </w:t>
            </w:r>
          </w:p>
        </w:tc>
        <w:tc>
          <w:tcPr>
            <w:tcW w:w="1080" w:type="dxa"/>
            <w:tcBorders>
              <w:top w:val="nil"/>
              <w:left w:val="nil"/>
              <w:bottom w:val="nil"/>
              <w:right w:val="nil"/>
            </w:tcBorders>
            <w:noWrap/>
            <w:vAlign w:val="center"/>
            <w:hideMark/>
          </w:tcPr>
          <w:p w14:paraId="19AB8147"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50.2 </w:t>
            </w:r>
          </w:p>
        </w:tc>
        <w:tc>
          <w:tcPr>
            <w:tcW w:w="1080" w:type="dxa"/>
            <w:tcBorders>
              <w:top w:val="nil"/>
              <w:left w:val="nil"/>
              <w:bottom w:val="nil"/>
              <w:right w:val="nil"/>
            </w:tcBorders>
            <w:noWrap/>
            <w:vAlign w:val="center"/>
            <w:hideMark/>
          </w:tcPr>
          <w:p w14:paraId="638B3D42"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68.4 </w:t>
            </w:r>
          </w:p>
        </w:tc>
        <w:tc>
          <w:tcPr>
            <w:tcW w:w="1080" w:type="dxa"/>
            <w:tcBorders>
              <w:top w:val="nil"/>
              <w:left w:val="nil"/>
              <w:bottom w:val="nil"/>
              <w:right w:val="nil"/>
            </w:tcBorders>
            <w:noWrap/>
            <w:vAlign w:val="center"/>
            <w:hideMark/>
          </w:tcPr>
          <w:p w14:paraId="6FB9FD37"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97.1 </w:t>
            </w:r>
          </w:p>
        </w:tc>
        <w:tc>
          <w:tcPr>
            <w:tcW w:w="1080" w:type="dxa"/>
            <w:tcBorders>
              <w:top w:val="nil"/>
              <w:left w:val="nil"/>
              <w:bottom w:val="nil"/>
              <w:right w:val="nil"/>
            </w:tcBorders>
            <w:noWrap/>
            <w:vAlign w:val="center"/>
            <w:hideMark/>
          </w:tcPr>
          <w:p w14:paraId="4D342AEE"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119.3 </w:t>
            </w:r>
          </w:p>
        </w:tc>
      </w:tr>
      <w:tr w:rsidR="000970D9" w:rsidRPr="00BB3D6B" w14:paraId="7A693431" w14:textId="77777777" w:rsidTr="005B7026">
        <w:trPr>
          <w:trHeight w:val="353"/>
        </w:trPr>
        <w:tc>
          <w:tcPr>
            <w:tcW w:w="1080" w:type="dxa"/>
            <w:tcBorders>
              <w:top w:val="nil"/>
              <w:left w:val="nil"/>
              <w:bottom w:val="nil"/>
              <w:right w:val="nil"/>
            </w:tcBorders>
            <w:noWrap/>
            <w:vAlign w:val="center"/>
            <w:hideMark/>
          </w:tcPr>
          <w:p w14:paraId="2589922F"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2021</w:t>
            </w:r>
          </w:p>
        </w:tc>
        <w:tc>
          <w:tcPr>
            <w:tcW w:w="1080" w:type="dxa"/>
            <w:tcBorders>
              <w:top w:val="nil"/>
              <w:left w:val="nil"/>
              <w:bottom w:val="nil"/>
              <w:right w:val="nil"/>
            </w:tcBorders>
            <w:noWrap/>
            <w:vAlign w:val="center"/>
            <w:hideMark/>
          </w:tcPr>
          <w:p w14:paraId="29B9CB8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13.9 </w:t>
            </w:r>
          </w:p>
        </w:tc>
        <w:tc>
          <w:tcPr>
            <w:tcW w:w="1080" w:type="dxa"/>
            <w:tcBorders>
              <w:top w:val="nil"/>
              <w:left w:val="nil"/>
              <w:bottom w:val="nil"/>
              <w:right w:val="nil"/>
            </w:tcBorders>
            <w:noWrap/>
            <w:vAlign w:val="center"/>
            <w:hideMark/>
          </w:tcPr>
          <w:p w14:paraId="57C295B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36.9 </w:t>
            </w:r>
          </w:p>
        </w:tc>
        <w:tc>
          <w:tcPr>
            <w:tcW w:w="1080" w:type="dxa"/>
            <w:tcBorders>
              <w:top w:val="nil"/>
              <w:left w:val="nil"/>
              <w:bottom w:val="nil"/>
              <w:right w:val="nil"/>
            </w:tcBorders>
            <w:noWrap/>
            <w:vAlign w:val="center"/>
            <w:hideMark/>
          </w:tcPr>
          <w:p w14:paraId="5EF6A835"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49.0 </w:t>
            </w:r>
          </w:p>
        </w:tc>
        <w:tc>
          <w:tcPr>
            <w:tcW w:w="1080" w:type="dxa"/>
            <w:tcBorders>
              <w:top w:val="nil"/>
              <w:left w:val="nil"/>
              <w:bottom w:val="nil"/>
              <w:right w:val="nil"/>
            </w:tcBorders>
            <w:noWrap/>
            <w:vAlign w:val="center"/>
            <w:hideMark/>
          </w:tcPr>
          <w:p w14:paraId="379FD677"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58.0 </w:t>
            </w:r>
          </w:p>
        </w:tc>
        <w:tc>
          <w:tcPr>
            <w:tcW w:w="1080" w:type="dxa"/>
            <w:tcBorders>
              <w:top w:val="nil"/>
              <w:left w:val="nil"/>
              <w:bottom w:val="nil"/>
              <w:right w:val="nil"/>
            </w:tcBorders>
            <w:noWrap/>
            <w:vAlign w:val="center"/>
            <w:hideMark/>
          </w:tcPr>
          <w:p w14:paraId="09F36B93"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84.0 </w:t>
            </w:r>
          </w:p>
        </w:tc>
        <w:tc>
          <w:tcPr>
            <w:tcW w:w="1080" w:type="dxa"/>
            <w:tcBorders>
              <w:top w:val="nil"/>
              <w:left w:val="nil"/>
              <w:bottom w:val="nil"/>
              <w:right w:val="nil"/>
            </w:tcBorders>
            <w:noWrap/>
            <w:vAlign w:val="center"/>
            <w:hideMark/>
          </w:tcPr>
          <w:p w14:paraId="5A729FC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110.5 </w:t>
            </w:r>
          </w:p>
        </w:tc>
      </w:tr>
      <w:tr w:rsidR="000970D9" w:rsidRPr="00BB3D6B" w14:paraId="12B02919" w14:textId="77777777" w:rsidTr="005B7026">
        <w:trPr>
          <w:trHeight w:val="353"/>
        </w:trPr>
        <w:tc>
          <w:tcPr>
            <w:tcW w:w="1080" w:type="dxa"/>
            <w:tcBorders>
              <w:top w:val="nil"/>
              <w:left w:val="nil"/>
              <w:bottom w:val="nil"/>
              <w:right w:val="nil"/>
            </w:tcBorders>
            <w:noWrap/>
            <w:vAlign w:val="center"/>
            <w:hideMark/>
          </w:tcPr>
          <w:p w14:paraId="310428E6"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2022</w:t>
            </w:r>
          </w:p>
        </w:tc>
        <w:tc>
          <w:tcPr>
            <w:tcW w:w="1080" w:type="dxa"/>
            <w:tcBorders>
              <w:top w:val="nil"/>
              <w:left w:val="nil"/>
              <w:bottom w:val="nil"/>
              <w:right w:val="nil"/>
            </w:tcBorders>
            <w:noWrap/>
            <w:vAlign w:val="center"/>
            <w:hideMark/>
          </w:tcPr>
          <w:p w14:paraId="07A1C504"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16.2 </w:t>
            </w:r>
          </w:p>
        </w:tc>
        <w:tc>
          <w:tcPr>
            <w:tcW w:w="1080" w:type="dxa"/>
            <w:tcBorders>
              <w:top w:val="nil"/>
              <w:left w:val="nil"/>
              <w:bottom w:val="nil"/>
              <w:right w:val="nil"/>
            </w:tcBorders>
            <w:noWrap/>
            <w:vAlign w:val="center"/>
            <w:hideMark/>
          </w:tcPr>
          <w:p w14:paraId="640FEC8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33.7 </w:t>
            </w:r>
          </w:p>
        </w:tc>
        <w:tc>
          <w:tcPr>
            <w:tcW w:w="1080" w:type="dxa"/>
            <w:tcBorders>
              <w:top w:val="nil"/>
              <w:left w:val="nil"/>
              <w:bottom w:val="nil"/>
              <w:right w:val="nil"/>
            </w:tcBorders>
            <w:noWrap/>
            <w:vAlign w:val="center"/>
            <w:hideMark/>
          </w:tcPr>
          <w:p w14:paraId="51F24BE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45.7 </w:t>
            </w:r>
          </w:p>
        </w:tc>
        <w:tc>
          <w:tcPr>
            <w:tcW w:w="1080" w:type="dxa"/>
            <w:tcBorders>
              <w:top w:val="nil"/>
              <w:left w:val="nil"/>
              <w:bottom w:val="nil"/>
              <w:right w:val="nil"/>
            </w:tcBorders>
            <w:noWrap/>
            <w:vAlign w:val="center"/>
            <w:hideMark/>
          </w:tcPr>
          <w:p w14:paraId="57572B6B"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55.5 </w:t>
            </w:r>
          </w:p>
        </w:tc>
        <w:tc>
          <w:tcPr>
            <w:tcW w:w="1080" w:type="dxa"/>
            <w:tcBorders>
              <w:top w:val="nil"/>
              <w:left w:val="nil"/>
              <w:bottom w:val="nil"/>
              <w:right w:val="nil"/>
            </w:tcBorders>
            <w:noWrap/>
            <w:vAlign w:val="center"/>
            <w:hideMark/>
          </w:tcPr>
          <w:p w14:paraId="462998C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73.2 </w:t>
            </w:r>
          </w:p>
        </w:tc>
        <w:tc>
          <w:tcPr>
            <w:tcW w:w="1080" w:type="dxa"/>
            <w:tcBorders>
              <w:top w:val="nil"/>
              <w:left w:val="nil"/>
              <w:bottom w:val="nil"/>
              <w:right w:val="nil"/>
            </w:tcBorders>
            <w:noWrap/>
            <w:vAlign w:val="center"/>
            <w:hideMark/>
          </w:tcPr>
          <w:p w14:paraId="44D74CF5"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104.3 </w:t>
            </w:r>
          </w:p>
        </w:tc>
      </w:tr>
      <w:tr w:rsidR="000970D9" w:rsidRPr="00BB3D6B" w14:paraId="51A05660" w14:textId="77777777" w:rsidTr="005B7026">
        <w:trPr>
          <w:trHeight w:val="353"/>
        </w:trPr>
        <w:tc>
          <w:tcPr>
            <w:tcW w:w="1080" w:type="dxa"/>
            <w:tcBorders>
              <w:top w:val="nil"/>
              <w:left w:val="nil"/>
              <w:bottom w:val="nil"/>
              <w:right w:val="nil"/>
            </w:tcBorders>
            <w:noWrap/>
            <w:vAlign w:val="center"/>
            <w:hideMark/>
          </w:tcPr>
          <w:p w14:paraId="0B25729C"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2023</w:t>
            </w:r>
          </w:p>
        </w:tc>
        <w:tc>
          <w:tcPr>
            <w:tcW w:w="1080" w:type="dxa"/>
            <w:tcBorders>
              <w:top w:val="nil"/>
              <w:left w:val="nil"/>
              <w:bottom w:val="nil"/>
              <w:right w:val="nil"/>
            </w:tcBorders>
            <w:noWrap/>
            <w:vAlign w:val="center"/>
            <w:hideMark/>
          </w:tcPr>
          <w:p w14:paraId="36AA8BEF"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15.1 </w:t>
            </w:r>
          </w:p>
        </w:tc>
        <w:tc>
          <w:tcPr>
            <w:tcW w:w="1080" w:type="dxa"/>
            <w:tcBorders>
              <w:top w:val="nil"/>
              <w:left w:val="nil"/>
              <w:bottom w:val="nil"/>
              <w:right w:val="nil"/>
            </w:tcBorders>
            <w:noWrap/>
            <w:vAlign w:val="center"/>
            <w:hideMark/>
          </w:tcPr>
          <w:p w14:paraId="47C731AE"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40.1 </w:t>
            </w:r>
          </w:p>
        </w:tc>
        <w:tc>
          <w:tcPr>
            <w:tcW w:w="1080" w:type="dxa"/>
            <w:tcBorders>
              <w:top w:val="nil"/>
              <w:left w:val="nil"/>
              <w:bottom w:val="nil"/>
              <w:right w:val="nil"/>
            </w:tcBorders>
            <w:noWrap/>
            <w:vAlign w:val="center"/>
            <w:hideMark/>
          </w:tcPr>
          <w:p w14:paraId="3FC9C29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46.2 </w:t>
            </w:r>
          </w:p>
        </w:tc>
        <w:tc>
          <w:tcPr>
            <w:tcW w:w="1080" w:type="dxa"/>
            <w:tcBorders>
              <w:top w:val="nil"/>
              <w:left w:val="nil"/>
              <w:bottom w:val="nil"/>
              <w:right w:val="nil"/>
            </w:tcBorders>
            <w:noWrap/>
            <w:vAlign w:val="center"/>
            <w:hideMark/>
          </w:tcPr>
          <w:p w14:paraId="3A3B07A7"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60.4 </w:t>
            </w:r>
          </w:p>
        </w:tc>
        <w:tc>
          <w:tcPr>
            <w:tcW w:w="1080" w:type="dxa"/>
            <w:tcBorders>
              <w:top w:val="nil"/>
              <w:left w:val="nil"/>
              <w:bottom w:val="nil"/>
              <w:right w:val="nil"/>
            </w:tcBorders>
            <w:noWrap/>
            <w:vAlign w:val="center"/>
            <w:hideMark/>
          </w:tcPr>
          <w:p w14:paraId="05A1619F"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77.5 </w:t>
            </w:r>
          </w:p>
        </w:tc>
        <w:tc>
          <w:tcPr>
            <w:tcW w:w="1080" w:type="dxa"/>
            <w:tcBorders>
              <w:top w:val="nil"/>
              <w:left w:val="nil"/>
              <w:bottom w:val="nil"/>
              <w:right w:val="nil"/>
            </w:tcBorders>
            <w:noWrap/>
            <w:vAlign w:val="center"/>
            <w:hideMark/>
          </w:tcPr>
          <w:p w14:paraId="1B2ABCF9"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94.4 </w:t>
            </w:r>
          </w:p>
        </w:tc>
      </w:tr>
      <w:tr w:rsidR="000970D9" w:rsidRPr="00BB3D6B" w14:paraId="719DC437" w14:textId="77777777" w:rsidTr="005B7026">
        <w:trPr>
          <w:trHeight w:val="353"/>
        </w:trPr>
        <w:tc>
          <w:tcPr>
            <w:tcW w:w="1080" w:type="dxa"/>
            <w:tcBorders>
              <w:top w:val="nil"/>
              <w:left w:val="nil"/>
              <w:bottom w:val="single" w:sz="4" w:space="0" w:color="auto"/>
              <w:right w:val="nil"/>
            </w:tcBorders>
            <w:noWrap/>
            <w:vAlign w:val="center"/>
            <w:hideMark/>
          </w:tcPr>
          <w:p w14:paraId="0F1E8A61"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2024</w:t>
            </w:r>
          </w:p>
        </w:tc>
        <w:tc>
          <w:tcPr>
            <w:tcW w:w="1080" w:type="dxa"/>
            <w:tcBorders>
              <w:top w:val="nil"/>
              <w:left w:val="nil"/>
              <w:bottom w:val="single" w:sz="4" w:space="0" w:color="auto"/>
              <w:right w:val="nil"/>
            </w:tcBorders>
            <w:noWrap/>
            <w:vAlign w:val="center"/>
            <w:hideMark/>
          </w:tcPr>
          <w:p w14:paraId="21AF5520"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15.0 </w:t>
            </w:r>
          </w:p>
        </w:tc>
        <w:tc>
          <w:tcPr>
            <w:tcW w:w="1080" w:type="dxa"/>
            <w:tcBorders>
              <w:top w:val="nil"/>
              <w:left w:val="nil"/>
              <w:bottom w:val="single" w:sz="4" w:space="0" w:color="auto"/>
              <w:right w:val="nil"/>
            </w:tcBorders>
            <w:noWrap/>
            <w:vAlign w:val="center"/>
            <w:hideMark/>
          </w:tcPr>
          <w:p w14:paraId="5E6174B4"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38.4 </w:t>
            </w:r>
          </w:p>
        </w:tc>
        <w:tc>
          <w:tcPr>
            <w:tcW w:w="1080" w:type="dxa"/>
            <w:tcBorders>
              <w:top w:val="nil"/>
              <w:left w:val="nil"/>
              <w:bottom w:val="single" w:sz="4" w:space="0" w:color="auto"/>
              <w:right w:val="nil"/>
            </w:tcBorders>
            <w:noWrap/>
            <w:vAlign w:val="center"/>
            <w:hideMark/>
          </w:tcPr>
          <w:p w14:paraId="5BC7138D"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44.4 </w:t>
            </w:r>
          </w:p>
        </w:tc>
        <w:tc>
          <w:tcPr>
            <w:tcW w:w="1080" w:type="dxa"/>
            <w:tcBorders>
              <w:top w:val="nil"/>
              <w:left w:val="nil"/>
              <w:bottom w:val="single" w:sz="4" w:space="0" w:color="auto"/>
              <w:right w:val="nil"/>
            </w:tcBorders>
            <w:noWrap/>
            <w:vAlign w:val="center"/>
            <w:hideMark/>
          </w:tcPr>
          <w:p w14:paraId="7F45F337"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50.0 </w:t>
            </w:r>
          </w:p>
        </w:tc>
        <w:tc>
          <w:tcPr>
            <w:tcW w:w="1080" w:type="dxa"/>
            <w:tcBorders>
              <w:top w:val="nil"/>
              <w:left w:val="nil"/>
              <w:bottom w:val="single" w:sz="4" w:space="0" w:color="auto"/>
              <w:right w:val="nil"/>
            </w:tcBorders>
            <w:noWrap/>
            <w:vAlign w:val="center"/>
            <w:hideMark/>
          </w:tcPr>
          <w:p w14:paraId="399093DF"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61.5 </w:t>
            </w:r>
          </w:p>
        </w:tc>
        <w:tc>
          <w:tcPr>
            <w:tcW w:w="1080" w:type="dxa"/>
            <w:tcBorders>
              <w:top w:val="nil"/>
              <w:left w:val="nil"/>
              <w:bottom w:val="single" w:sz="4" w:space="0" w:color="auto"/>
              <w:right w:val="nil"/>
            </w:tcBorders>
            <w:noWrap/>
            <w:vAlign w:val="center"/>
            <w:hideMark/>
          </w:tcPr>
          <w:p w14:paraId="7A85947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 xml:space="preserve">81.6 </w:t>
            </w:r>
          </w:p>
        </w:tc>
      </w:tr>
    </w:tbl>
    <w:p w14:paraId="4C7D5F4D" w14:textId="77777777" w:rsidR="000970D9" w:rsidRPr="00BB3D6B" w:rsidRDefault="000970D9" w:rsidP="000970D9">
      <w:pPr>
        <w:rPr>
          <w:rFonts w:ascii="Times New Roman" w:hAnsi="Times New Roman" w:cs="Times New Roman"/>
          <w:sz w:val="24"/>
          <w:szCs w:val="24"/>
        </w:rPr>
      </w:pPr>
    </w:p>
    <w:p w14:paraId="00BDE76A" w14:textId="77777777" w:rsidR="000970D9" w:rsidRPr="00BB3D6B" w:rsidRDefault="000970D9" w:rsidP="000970D9">
      <w:pPr>
        <w:widowControl/>
        <w:jc w:val="left"/>
        <w:rPr>
          <w:rFonts w:ascii="Times New Roman" w:hAnsi="Times New Roman" w:cs="Times New Roman"/>
          <w:sz w:val="24"/>
          <w:szCs w:val="24"/>
        </w:rPr>
      </w:pPr>
      <w:r w:rsidRPr="00BB3D6B">
        <w:rPr>
          <w:rFonts w:ascii="Times New Roman" w:hAnsi="Times New Roman" w:cs="Times New Roman"/>
          <w:sz w:val="24"/>
          <w:szCs w:val="24"/>
        </w:rPr>
        <w:br w:type="page"/>
      </w:r>
    </w:p>
    <w:p w14:paraId="10638A34" w14:textId="77777777" w:rsidR="000970D9" w:rsidRPr="00BB3D6B" w:rsidRDefault="000970D9" w:rsidP="000970D9">
      <w:pPr>
        <w:widowControl/>
        <w:jc w:val="left"/>
        <w:rPr>
          <w:rFonts w:ascii="Times New Roman" w:hAnsi="Times New Roman" w:cs="Times New Roman"/>
          <w:sz w:val="24"/>
          <w:szCs w:val="24"/>
        </w:rPr>
      </w:pPr>
      <w:r w:rsidRPr="00BB3D6B">
        <w:rPr>
          <w:rFonts w:ascii="Times New Roman" w:hAnsi="Times New Roman" w:cs="Times New Roman"/>
          <w:sz w:val="24"/>
          <w:szCs w:val="24"/>
        </w:rPr>
        <w:lastRenderedPageBreak/>
        <w:t>Table 3. Maturity at age of Japanese sardine in each year group.</w:t>
      </w:r>
    </w:p>
    <w:tbl>
      <w:tblPr>
        <w:tblW w:w="7760" w:type="dxa"/>
        <w:tblCellMar>
          <w:left w:w="99" w:type="dxa"/>
          <w:right w:w="99" w:type="dxa"/>
        </w:tblCellMar>
        <w:tblLook w:val="04A0" w:firstRow="1" w:lastRow="0" w:firstColumn="1" w:lastColumn="0" w:noHBand="0" w:noVBand="1"/>
      </w:tblPr>
      <w:tblGrid>
        <w:gridCol w:w="1280"/>
        <w:gridCol w:w="1080"/>
        <w:gridCol w:w="1080"/>
        <w:gridCol w:w="1080"/>
        <w:gridCol w:w="1080"/>
        <w:gridCol w:w="1080"/>
        <w:gridCol w:w="1080"/>
      </w:tblGrid>
      <w:tr w:rsidR="000970D9" w:rsidRPr="00BB3D6B" w14:paraId="6A70024C" w14:textId="77777777" w:rsidTr="005B7026">
        <w:trPr>
          <w:trHeight w:val="353"/>
        </w:trPr>
        <w:tc>
          <w:tcPr>
            <w:tcW w:w="1280" w:type="dxa"/>
            <w:tcBorders>
              <w:top w:val="single" w:sz="4" w:space="0" w:color="auto"/>
              <w:left w:val="nil"/>
              <w:bottom w:val="single" w:sz="4" w:space="0" w:color="auto"/>
              <w:right w:val="nil"/>
            </w:tcBorders>
            <w:noWrap/>
            <w:vAlign w:val="center"/>
            <w:hideMark/>
          </w:tcPr>
          <w:p w14:paraId="55B9A550"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Year group</w:t>
            </w:r>
          </w:p>
        </w:tc>
        <w:tc>
          <w:tcPr>
            <w:tcW w:w="1080" w:type="dxa"/>
            <w:tcBorders>
              <w:top w:val="single" w:sz="4" w:space="0" w:color="auto"/>
              <w:left w:val="nil"/>
              <w:bottom w:val="single" w:sz="4" w:space="0" w:color="auto"/>
              <w:right w:val="nil"/>
            </w:tcBorders>
            <w:noWrap/>
            <w:vAlign w:val="center"/>
            <w:hideMark/>
          </w:tcPr>
          <w:p w14:paraId="4E07CAC9"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Age_0</w:t>
            </w:r>
          </w:p>
        </w:tc>
        <w:tc>
          <w:tcPr>
            <w:tcW w:w="1080" w:type="dxa"/>
            <w:tcBorders>
              <w:top w:val="single" w:sz="4" w:space="0" w:color="auto"/>
              <w:left w:val="nil"/>
              <w:bottom w:val="single" w:sz="4" w:space="0" w:color="auto"/>
              <w:right w:val="nil"/>
            </w:tcBorders>
            <w:noWrap/>
            <w:vAlign w:val="center"/>
            <w:hideMark/>
          </w:tcPr>
          <w:p w14:paraId="1BFB6593"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Age_1</w:t>
            </w:r>
          </w:p>
        </w:tc>
        <w:tc>
          <w:tcPr>
            <w:tcW w:w="1080" w:type="dxa"/>
            <w:tcBorders>
              <w:top w:val="single" w:sz="4" w:space="0" w:color="auto"/>
              <w:left w:val="nil"/>
              <w:bottom w:val="single" w:sz="4" w:space="0" w:color="auto"/>
              <w:right w:val="nil"/>
            </w:tcBorders>
            <w:noWrap/>
            <w:vAlign w:val="center"/>
            <w:hideMark/>
          </w:tcPr>
          <w:p w14:paraId="1674891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Age_2</w:t>
            </w:r>
          </w:p>
        </w:tc>
        <w:tc>
          <w:tcPr>
            <w:tcW w:w="1080" w:type="dxa"/>
            <w:tcBorders>
              <w:top w:val="single" w:sz="4" w:space="0" w:color="auto"/>
              <w:left w:val="nil"/>
              <w:bottom w:val="single" w:sz="4" w:space="0" w:color="auto"/>
              <w:right w:val="nil"/>
            </w:tcBorders>
            <w:noWrap/>
            <w:vAlign w:val="center"/>
            <w:hideMark/>
          </w:tcPr>
          <w:p w14:paraId="0FBC75F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Age_3</w:t>
            </w:r>
          </w:p>
        </w:tc>
        <w:tc>
          <w:tcPr>
            <w:tcW w:w="1080" w:type="dxa"/>
            <w:tcBorders>
              <w:top w:val="single" w:sz="4" w:space="0" w:color="auto"/>
              <w:left w:val="nil"/>
              <w:bottom w:val="single" w:sz="4" w:space="0" w:color="auto"/>
              <w:right w:val="nil"/>
            </w:tcBorders>
            <w:noWrap/>
            <w:vAlign w:val="center"/>
            <w:hideMark/>
          </w:tcPr>
          <w:p w14:paraId="4C06AEE4"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Age_4</w:t>
            </w:r>
          </w:p>
        </w:tc>
        <w:tc>
          <w:tcPr>
            <w:tcW w:w="1080" w:type="dxa"/>
            <w:tcBorders>
              <w:top w:val="single" w:sz="4" w:space="0" w:color="auto"/>
              <w:left w:val="nil"/>
              <w:bottom w:val="single" w:sz="4" w:space="0" w:color="auto"/>
              <w:right w:val="nil"/>
            </w:tcBorders>
            <w:noWrap/>
            <w:vAlign w:val="center"/>
            <w:hideMark/>
          </w:tcPr>
          <w:p w14:paraId="37704E13"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Age_5+</w:t>
            </w:r>
          </w:p>
        </w:tc>
      </w:tr>
      <w:tr w:rsidR="000970D9" w:rsidRPr="00BB3D6B" w14:paraId="4605B182" w14:textId="77777777" w:rsidTr="005B7026">
        <w:trPr>
          <w:trHeight w:val="353"/>
        </w:trPr>
        <w:tc>
          <w:tcPr>
            <w:tcW w:w="1280" w:type="dxa"/>
            <w:tcBorders>
              <w:top w:val="nil"/>
              <w:left w:val="nil"/>
              <w:bottom w:val="nil"/>
              <w:right w:val="nil"/>
            </w:tcBorders>
            <w:noWrap/>
            <w:vAlign w:val="center"/>
            <w:hideMark/>
          </w:tcPr>
          <w:p w14:paraId="6614FDD1"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1976-1993</w:t>
            </w:r>
          </w:p>
        </w:tc>
        <w:tc>
          <w:tcPr>
            <w:tcW w:w="1080" w:type="dxa"/>
            <w:tcBorders>
              <w:top w:val="nil"/>
              <w:left w:val="nil"/>
              <w:bottom w:val="nil"/>
              <w:right w:val="nil"/>
            </w:tcBorders>
            <w:noWrap/>
            <w:vAlign w:val="center"/>
            <w:hideMark/>
          </w:tcPr>
          <w:p w14:paraId="4E5A1D75"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0</w:t>
            </w:r>
          </w:p>
        </w:tc>
        <w:tc>
          <w:tcPr>
            <w:tcW w:w="1080" w:type="dxa"/>
            <w:tcBorders>
              <w:top w:val="nil"/>
              <w:left w:val="nil"/>
              <w:bottom w:val="nil"/>
              <w:right w:val="nil"/>
            </w:tcBorders>
            <w:noWrap/>
            <w:vAlign w:val="center"/>
            <w:hideMark/>
          </w:tcPr>
          <w:p w14:paraId="7228E5DF"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0.1</w:t>
            </w:r>
          </w:p>
        </w:tc>
        <w:tc>
          <w:tcPr>
            <w:tcW w:w="1080" w:type="dxa"/>
            <w:tcBorders>
              <w:top w:val="nil"/>
              <w:left w:val="nil"/>
              <w:bottom w:val="nil"/>
              <w:right w:val="nil"/>
            </w:tcBorders>
            <w:noWrap/>
            <w:vAlign w:val="center"/>
            <w:hideMark/>
          </w:tcPr>
          <w:p w14:paraId="26078A15"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c>
          <w:tcPr>
            <w:tcW w:w="1080" w:type="dxa"/>
            <w:tcBorders>
              <w:top w:val="nil"/>
              <w:left w:val="nil"/>
              <w:bottom w:val="nil"/>
              <w:right w:val="nil"/>
            </w:tcBorders>
            <w:noWrap/>
            <w:vAlign w:val="center"/>
            <w:hideMark/>
          </w:tcPr>
          <w:p w14:paraId="0A491B07"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c>
          <w:tcPr>
            <w:tcW w:w="1080" w:type="dxa"/>
            <w:tcBorders>
              <w:top w:val="nil"/>
              <w:left w:val="nil"/>
              <w:bottom w:val="nil"/>
              <w:right w:val="nil"/>
            </w:tcBorders>
            <w:noWrap/>
            <w:vAlign w:val="center"/>
            <w:hideMark/>
          </w:tcPr>
          <w:p w14:paraId="319E9564"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c>
          <w:tcPr>
            <w:tcW w:w="1080" w:type="dxa"/>
            <w:tcBorders>
              <w:top w:val="nil"/>
              <w:left w:val="nil"/>
              <w:bottom w:val="nil"/>
              <w:right w:val="nil"/>
            </w:tcBorders>
            <w:noWrap/>
            <w:vAlign w:val="center"/>
            <w:hideMark/>
          </w:tcPr>
          <w:p w14:paraId="2BD5D97F"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r>
      <w:tr w:rsidR="000970D9" w:rsidRPr="00BB3D6B" w14:paraId="1D9FEB90" w14:textId="77777777" w:rsidTr="005B7026">
        <w:trPr>
          <w:trHeight w:val="353"/>
        </w:trPr>
        <w:tc>
          <w:tcPr>
            <w:tcW w:w="1280" w:type="dxa"/>
            <w:tcBorders>
              <w:top w:val="nil"/>
              <w:left w:val="nil"/>
              <w:bottom w:val="nil"/>
              <w:right w:val="nil"/>
            </w:tcBorders>
            <w:noWrap/>
            <w:vAlign w:val="center"/>
            <w:hideMark/>
          </w:tcPr>
          <w:p w14:paraId="63778FEE"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1994-1997</w:t>
            </w:r>
          </w:p>
        </w:tc>
        <w:tc>
          <w:tcPr>
            <w:tcW w:w="1080" w:type="dxa"/>
            <w:tcBorders>
              <w:top w:val="nil"/>
              <w:left w:val="nil"/>
              <w:bottom w:val="nil"/>
              <w:right w:val="nil"/>
            </w:tcBorders>
            <w:noWrap/>
            <w:vAlign w:val="center"/>
            <w:hideMark/>
          </w:tcPr>
          <w:p w14:paraId="7CD99724"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0</w:t>
            </w:r>
          </w:p>
        </w:tc>
        <w:tc>
          <w:tcPr>
            <w:tcW w:w="1080" w:type="dxa"/>
            <w:tcBorders>
              <w:top w:val="nil"/>
              <w:left w:val="nil"/>
              <w:bottom w:val="nil"/>
              <w:right w:val="nil"/>
            </w:tcBorders>
            <w:noWrap/>
            <w:vAlign w:val="center"/>
            <w:hideMark/>
          </w:tcPr>
          <w:p w14:paraId="42883FAE"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0.2</w:t>
            </w:r>
          </w:p>
        </w:tc>
        <w:tc>
          <w:tcPr>
            <w:tcW w:w="1080" w:type="dxa"/>
            <w:tcBorders>
              <w:top w:val="nil"/>
              <w:left w:val="nil"/>
              <w:bottom w:val="nil"/>
              <w:right w:val="nil"/>
            </w:tcBorders>
            <w:noWrap/>
            <w:vAlign w:val="center"/>
            <w:hideMark/>
          </w:tcPr>
          <w:p w14:paraId="7FFFDCEF"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c>
          <w:tcPr>
            <w:tcW w:w="1080" w:type="dxa"/>
            <w:tcBorders>
              <w:top w:val="nil"/>
              <w:left w:val="nil"/>
              <w:bottom w:val="nil"/>
              <w:right w:val="nil"/>
            </w:tcBorders>
            <w:noWrap/>
            <w:vAlign w:val="center"/>
            <w:hideMark/>
          </w:tcPr>
          <w:p w14:paraId="15CBBE27"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c>
          <w:tcPr>
            <w:tcW w:w="1080" w:type="dxa"/>
            <w:tcBorders>
              <w:top w:val="nil"/>
              <w:left w:val="nil"/>
              <w:bottom w:val="nil"/>
              <w:right w:val="nil"/>
            </w:tcBorders>
            <w:noWrap/>
            <w:vAlign w:val="center"/>
            <w:hideMark/>
          </w:tcPr>
          <w:p w14:paraId="444AA56D"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c>
          <w:tcPr>
            <w:tcW w:w="1080" w:type="dxa"/>
            <w:tcBorders>
              <w:top w:val="nil"/>
              <w:left w:val="nil"/>
              <w:bottom w:val="nil"/>
              <w:right w:val="nil"/>
            </w:tcBorders>
            <w:noWrap/>
            <w:vAlign w:val="center"/>
            <w:hideMark/>
          </w:tcPr>
          <w:p w14:paraId="7EB9167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r>
      <w:tr w:rsidR="000970D9" w:rsidRPr="00BB3D6B" w14:paraId="4C741D0E" w14:textId="77777777" w:rsidTr="005B7026">
        <w:trPr>
          <w:trHeight w:val="353"/>
        </w:trPr>
        <w:tc>
          <w:tcPr>
            <w:tcW w:w="1280" w:type="dxa"/>
            <w:tcBorders>
              <w:top w:val="nil"/>
              <w:left w:val="nil"/>
              <w:bottom w:val="nil"/>
              <w:right w:val="nil"/>
            </w:tcBorders>
            <w:noWrap/>
            <w:vAlign w:val="center"/>
            <w:hideMark/>
          </w:tcPr>
          <w:p w14:paraId="1B1CB16E"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1998-2015</w:t>
            </w:r>
          </w:p>
        </w:tc>
        <w:tc>
          <w:tcPr>
            <w:tcW w:w="1080" w:type="dxa"/>
            <w:tcBorders>
              <w:top w:val="nil"/>
              <w:left w:val="nil"/>
              <w:bottom w:val="nil"/>
              <w:right w:val="nil"/>
            </w:tcBorders>
            <w:noWrap/>
            <w:vAlign w:val="center"/>
            <w:hideMark/>
          </w:tcPr>
          <w:p w14:paraId="36CF92B1"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0</w:t>
            </w:r>
          </w:p>
        </w:tc>
        <w:tc>
          <w:tcPr>
            <w:tcW w:w="1080" w:type="dxa"/>
            <w:tcBorders>
              <w:top w:val="nil"/>
              <w:left w:val="nil"/>
              <w:bottom w:val="nil"/>
              <w:right w:val="nil"/>
            </w:tcBorders>
            <w:noWrap/>
            <w:vAlign w:val="center"/>
            <w:hideMark/>
          </w:tcPr>
          <w:p w14:paraId="543B5FF3"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0.5</w:t>
            </w:r>
          </w:p>
        </w:tc>
        <w:tc>
          <w:tcPr>
            <w:tcW w:w="1080" w:type="dxa"/>
            <w:tcBorders>
              <w:top w:val="nil"/>
              <w:left w:val="nil"/>
              <w:bottom w:val="nil"/>
              <w:right w:val="nil"/>
            </w:tcBorders>
            <w:noWrap/>
            <w:vAlign w:val="center"/>
            <w:hideMark/>
          </w:tcPr>
          <w:p w14:paraId="04DCCA5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c>
          <w:tcPr>
            <w:tcW w:w="1080" w:type="dxa"/>
            <w:tcBorders>
              <w:top w:val="nil"/>
              <w:left w:val="nil"/>
              <w:bottom w:val="nil"/>
              <w:right w:val="nil"/>
            </w:tcBorders>
            <w:noWrap/>
            <w:vAlign w:val="center"/>
            <w:hideMark/>
          </w:tcPr>
          <w:p w14:paraId="254B3603"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c>
          <w:tcPr>
            <w:tcW w:w="1080" w:type="dxa"/>
            <w:tcBorders>
              <w:top w:val="nil"/>
              <w:left w:val="nil"/>
              <w:bottom w:val="nil"/>
              <w:right w:val="nil"/>
            </w:tcBorders>
            <w:noWrap/>
            <w:vAlign w:val="center"/>
            <w:hideMark/>
          </w:tcPr>
          <w:p w14:paraId="5163D2BA"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c>
          <w:tcPr>
            <w:tcW w:w="1080" w:type="dxa"/>
            <w:tcBorders>
              <w:top w:val="nil"/>
              <w:left w:val="nil"/>
              <w:bottom w:val="nil"/>
              <w:right w:val="nil"/>
            </w:tcBorders>
            <w:noWrap/>
            <w:vAlign w:val="center"/>
            <w:hideMark/>
          </w:tcPr>
          <w:p w14:paraId="7D9807E7"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r>
      <w:tr w:rsidR="000970D9" w:rsidRPr="00BB3D6B" w14:paraId="56449D51" w14:textId="77777777" w:rsidTr="005B7026">
        <w:trPr>
          <w:trHeight w:val="353"/>
        </w:trPr>
        <w:tc>
          <w:tcPr>
            <w:tcW w:w="1280" w:type="dxa"/>
            <w:tcBorders>
              <w:top w:val="nil"/>
              <w:left w:val="nil"/>
              <w:bottom w:val="single" w:sz="4" w:space="0" w:color="auto"/>
              <w:right w:val="nil"/>
            </w:tcBorders>
            <w:noWrap/>
            <w:vAlign w:val="center"/>
            <w:hideMark/>
          </w:tcPr>
          <w:p w14:paraId="1D8B90E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2016-2024</w:t>
            </w:r>
          </w:p>
        </w:tc>
        <w:tc>
          <w:tcPr>
            <w:tcW w:w="1080" w:type="dxa"/>
            <w:tcBorders>
              <w:top w:val="nil"/>
              <w:left w:val="nil"/>
              <w:bottom w:val="single" w:sz="4" w:space="0" w:color="auto"/>
              <w:right w:val="nil"/>
            </w:tcBorders>
            <w:noWrap/>
            <w:vAlign w:val="center"/>
            <w:hideMark/>
          </w:tcPr>
          <w:p w14:paraId="0E42E090"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0</w:t>
            </w:r>
          </w:p>
        </w:tc>
        <w:tc>
          <w:tcPr>
            <w:tcW w:w="1080" w:type="dxa"/>
            <w:tcBorders>
              <w:top w:val="nil"/>
              <w:left w:val="nil"/>
              <w:bottom w:val="single" w:sz="4" w:space="0" w:color="auto"/>
              <w:right w:val="nil"/>
            </w:tcBorders>
            <w:noWrap/>
            <w:vAlign w:val="center"/>
            <w:hideMark/>
          </w:tcPr>
          <w:p w14:paraId="36ADA45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0.2</w:t>
            </w:r>
          </w:p>
        </w:tc>
        <w:tc>
          <w:tcPr>
            <w:tcW w:w="1080" w:type="dxa"/>
            <w:tcBorders>
              <w:top w:val="nil"/>
              <w:left w:val="nil"/>
              <w:bottom w:val="single" w:sz="4" w:space="0" w:color="auto"/>
              <w:right w:val="nil"/>
            </w:tcBorders>
            <w:noWrap/>
            <w:vAlign w:val="center"/>
            <w:hideMark/>
          </w:tcPr>
          <w:p w14:paraId="3E868801"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c>
          <w:tcPr>
            <w:tcW w:w="1080" w:type="dxa"/>
            <w:tcBorders>
              <w:top w:val="nil"/>
              <w:left w:val="nil"/>
              <w:bottom w:val="single" w:sz="4" w:space="0" w:color="auto"/>
              <w:right w:val="nil"/>
            </w:tcBorders>
            <w:noWrap/>
            <w:vAlign w:val="center"/>
            <w:hideMark/>
          </w:tcPr>
          <w:p w14:paraId="4A1C6581"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c>
          <w:tcPr>
            <w:tcW w:w="1080" w:type="dxa"/>
            <w:tcBorders>
              <w:top w:val="nil"/>
              <w:left w:val="nil"/>
              <w:bottom w:val="single" w:sz="4" w:space="0" w:color="auto"/>
              <w:right w:val="nil"/>
            </w:tcBorders>
            <w:noWrap/>
            <w:vAlign w:val="center"/>
            <w:hideMark/>
          </w:tcPr>
          <w:p w14:paraId="3E6EE938"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c>
          <w:tcPr>
            <w:tcW w:w="1080" w:type="dxa"/>
            <w:tcBorders>
              <w:top w:val="nil"/>
              <w:left w:val="nil"/>
              <w:bottom w:val="single" w:sz="4" w:space="0" w:color="auto"/>
              <w:right w:val="nil"/>
            </w:tcBorders>
            <w:noWrap/>
            <w:vAlign w:val="center"/>
            <w:hideMark/>
          </w:tcPr>
          <w:p w14:paraId="3FF5DDA3" w14:textId="77777777" w:rsidR="000970D9" w:rsidRPr="00BB3D6B" w:rsidRDefault="000970D9" w:rsidP="005B7026">
            <w:pPr>
              <w:widowControl/>
              <w:jc w:val="center"/>
              <w:rPr>
                <w:rFonts w:ascii="Times New Roman" w:eastAsia="Yu Gothic" w:hAnsi="Times New Roman" w:cs="Times New Roman"/>
                <w:color w:val="000000"/>
                <w:kern w:val="0"/>
                <w:sz w:val="24"/>
                <w:szCs w:val="24"/>
              </w:rPr>
            </w:pPr>
            <w:r w:rsidRPr="00BB3D6B">
              <w:rPr>
                <w:rFonts w:ascii="Times New Roman" w:eastAsia="Yu Gothic" w:hAnsi="Times New Roman" w:cs="Times New Roman"/>
                <w:color w:val="000000"/>
                <w:kern w:val="0"/>
                <w:sz w:val="24"/>
                <w:szCs w:val="24"/>
              </w:rPr>
              <w:t>1</w:t>
            </w:r>
          </w:p>
        </w:tc>
      </w:tr>
    </w:tbl>
    <w:p w14:paraId="215403DF" w14:textId="77777777" w:rsidR="000970D9" w:rsidRPr="00BB3D6B" w:rsidRDefault="000970D9" w:rsidP="000970D9">
      <w:pPr>
        <w:rPr>
          <w:rFonts w:ascii="Times New Roman" w:hAnsi="Times New Roman" w:cs="Times New Roman"/>
          <w:sz w:val="24"/>
          <w:szCs w:val="24"/>
        </w:rPr>
      </w:pPr>
    </w:p>
    <w:p w14:paraId="2F253484" w14:textId="77777777" w:rsidR="000970D9" w:rsidRPr="00BB3D6B" w:rsidRDefault="000970D9" w:rsidP="000970D9">
      <w:pPr>
        <w:rPr>
          <w:rFonts w:ascii="Times New Roman" w:hAnsi="Times New Roman" w:cs="Times New Roman"/>
          <w:sz w:val="24"/>
          <w:szCs w:val="24"/>
        </w:rPr>
      </w:pPr>
    </w:p>
    <w:p w14:paraId="415C6FC3" w14:textId="77777777" w:rsidR="000970D9" w:rsidRPr="00BB3D6B" w:rsidRDefault="000970D9" w:rsidP="000970D9">
      <w:pPr>
        <w:widowControl/>
        <w:jc w:val="left"/>
        <w:rPr>
          <w:rFonts w:ascii="Times New Roman" w:hAnsi="Times New Roman" w:cs="Times New Roman"/>
          <w:sz w:val="24"/>
          <w:szCs w:val="24"/>
        </w:rPr>
      </w:pPr>
      <w:r w:rsidRPr="00BB3D6B">
        <w:rPr>
          <w:rFonts w:ascii="Times New Roman" w:hAnsi="Times New Roman" w:cs="Times New Roman"/>
          <w:noProof/>
          <w:sz w:val="24"/>
          <w:szCs w:val="24"/>
        </w:rPr>
        <w:drawing>
          <wp:inline distT="0" distB="0" distL="0" distR="0" wp14:anchorId="6052AC00" wp14:editId="5E9D5CBB">
            <wp:extent cx="5400040" cy="3375025"/>
            <wp:effectExtent l="0" t="0" r="0" b="0"/>
            <wp:docPr id="147798515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3375025"/>
                    </a:xfrm>
                    <a:prstGeom prst="rect">
                      <a:avLst/>
                    </a:prstGeom>
                    <a:noFill/>
                    <a:ln>
                      <a:noFill/>
                    </a:ln>
                  </pic:spPr>
                </pic:pic>
              </a:graphicData>
            </a:graphic>
          </wp:inline>
        </w:drawing>
      </w:r>
    </w:p>
    <w:p w14:paraId="12387471" w14:textId="1816FEE4" w:rsidR="000970D9" w:rsidRPr="00BB3D6B" w:rsidRDefault="000970D9" w:rsidP="000970D9">
      <w:pPr>
        <w:rPr>
          <w:rFonts w:ascii="Times New Roman" w:hAnsi="Times New Roman" w:cs="Times New Roman"/>
          <w:sz w:val="24"/>
          <w:szCs w:val="24"/>
        </w:rPr>
      </w:pPr>
      <w:r w:rsidRPr="00BB3D6B">
        <w:rPr>
          <w:rFonts w:ascii="Times New Roman" w:hAnsi="Times New Roman" w:cs="Times New Roman"/>
          <w:sz w:val="24"/>
          <w:szCs w:val="24"/>
        </w:rPr>
        <w:t xml:space="preserve">Figure 1. Mean scale </w:t>
      </w:r>
      <w:r w:rsidR="00BB3D6B">
        <w:rPr>
          <w:rFonts w:ascii="Times New Roman" w:hAnsi="Times New Roman" w:cs="Times New Roman" w:hint="eastAsia"/>
          <w:sz w:val="24"/>
          <w:szCs w:val="24"/>
        </w:rPr>
        <w:t xml:space="preserve">covered body </w:t>
      </w:r>
      <w:r w:rsidRPr="00BB3D6B">
        <w:rPr>
          <w:rFonts w:ascii="Times New Roman" w:hAnsi="Times New Roman" w:cs="Times New Roman"/>
          <w:sz w:val="24"/>
          <w:szCs w:val="24"/>
        </w:rPr>
        <w:t>length (cm) at age from CY2014-CY2024.</w:t>
      </w:r>
    </w:p>
    <w:p w14:paraId="1AD7DC68" w14:textId="77777777" w:rsidR="000970D9" w:rsidRPr="00BB3D6B" w:rsidRDefault="000970D9" w:rsidP="000970D9">
      <w:pPr>
        <w:rPr>
          <w:rFonts w:ascii="Times New Roman" w:hAnsi="Times New Roman" w:cs="Times New Roman"/>
          <w:sz w:val="24"/>
          <w:szCs w:val="24"/>
        </w:rPr>
      </w:pPr>
    </w:p>
    <w:p w14:paraId="662F54F3" w14:textId="77777777" w:rsidR="000970D9" w:rsidRPr="00BB3D6B" w:rsidRDefault="000970D9" w:rsidP="000970D9">
      <w:pPr>
        <w:widowControl/>
        <w:jc w:val="left"/>
        <w:rPr>
          <w:rFonts w:ascii="Times New Roman" w:hAnsi="Times New Roman" w:cs="Times New Roman"/>
          <w:sz w:val="24"/>
          <w:szCs w:val="24"/>
        </w:rPr>
      </w:pPr>
      <w:r w:rsidRPr="00BB3D6B">
        <w:rPr>
          <w:rFonts w:ascii="Times New Roman" w:hAnsi="Times New Roman" w:cs="Times New Roman"/>
          <w:sz w:val="24"/>
          <w:szCs w:val="24"/>
        </w:rPr>
        <w:br w:type="page"/>
      </w:r>
    </w:p>
    <w:p w14:paraId="40DADFF2" w14:textId="77777777" w:rsidR="000970D9" w:rsidRPr="00BB3D6B" w:rsidRDefault="000970D9" w:rsidP="000970D9">
      <w:pPr>
        <w:rPr>
          <w:rFonts w:ascii="Times New Roman" w:hAnsi="Times New Roman" w:cs="Times New Roman"/>
          <w:sz w:val="24"/>
          <w:szCs w:val="24"/>
        </w:rPr>
      </w:pPr>
      <w:r w:rsidRPr="00BB3D6B">
        <w:rPr>
          <w:rFonts w:ascii="Times New Roman" w:hAnsi="Times New Roman" w:cs="Times New Roman"/>
          <w:noProof/>
          <w:sz w:val="24"/>
          <w:szCs w:val="24"/>
        </w:rPr>
        <w:lastRenderedPageBreak/>
        <w:drawing>
          <wp:inline distT="0" distB="0" distL="0" distR="0" wp14:anchorId="55FB5EE1" wp14:editId="2773BBA0">
            <wp:extent cx="5400675" cy="3600450"/>
            <wp:effectExtent l="0" t="0" r="9525" b="0"/>
            <wp:docPr id="119801291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p>
    <w:p w14:paraId="27CE0F72" w14:textId="78C7705B" w:rsidR="000970D9" w:rsidRPr="00BB3D6B" w:rsidRDefault="000970D9" w:rsidP="000970D9">
      <w:pPr>
        <w:rPr>
          <w:rFonts w:ascii="Times New Roman" w:hAnsi="Times New Roman" w:cs="Times New Roman"/>
          <w:sz w:val="24"/>
          <w:szCs w:val="24"/>
        </w:rPr>
      </w:pPr>
      <w:r w:rsidRPr="00BB3D6B">
        <w:rPr>
          <w:rFonts w:ascii="Times New Roman" w:hAnsi="Times New Roman" w:cs="Times New Roman"/>
          <w:sz w:val="24"/>
          <w:szCs w:val="24"/>
        </w:rPr>
        <w:t>Figure 2. Mean body weight</w:t>
      </w:r>
      <w:r w:rsidR="00BB3D6B">
        <w:rPr>
          <w:rFonts w:ascii="Times New Roman" w:hAnsi="Times New Roman" w:cs="Times New Roman" w:hint="eastAsia"/>
          <w:sz w:val="24"/>
          <w:szCs w:val="24"/>
        </w:rPr>
        <w:t>-</w:t>
      </w:r>
      <w:r w:rsidRPr="00BB3D6B">
        <w:rPr>
          <w:rFonts w:ascii="Times New Roman" w:hAnsi="Times New Roman" w:cs="Times New Roman"/>
          <w:sz w:val="24"/>
          <w:szCs w:val="24"/>
        </w:rPr>
        <w:t>at</w:t>
      </w:r>
      <w:r w:rsidR="00BB3D6B">
        <w:rPr>
          <w:rFonts w:ascii="Times New Roman" w:hAnsi="Times New Roman" w:cs="Times New Roman" w:hint="eastAsia"/>
          <w:sz w:val="24"/>
          <w:szCs w:val="24"/>
        </w:rPr>
        <w:t>-</w:t>
      </w:r>
      <w:r w:rsidRPr="00BB3D6B">
        <w:rPr>
          <w:rFonts w:ascii="Times New Roman" w:hAnsi="Times New Roman" w:cs="Times New Roman"/>
          <w:sz w:val="24"/>
          <w:szCs w:val="24"/>
        </w:rPr>
        <w:t>age of Japanese sardine from the Japanese domestic stock assessment of the Pacific stock of Japanese sardine.</w:t>
      </w:r>
    </w:p>
    <w:p w14:paraId="27335BA9" w14:textId="77777777" w:rsidR="000970D9" w:rsidRDefault="000970D9" w:rsidP="000970D9">
      <w:pPr>
        <w:rPr>
          <w:rFonts w:ascii="Times New Roman" w:hAnsi="Times New Roman" w:cs="Times New Roman"/>
          <w:sz w:val="24"/>
          <w:szCs w:val="24"/>
        </w:rPr>
      </w:pPr>
    </w:p>
    <w:p w14:paraId="5FDEA5E9" w14:textId="77777777" w:rsidR="00BB3D6B" w:rsidRPr="00BB3D6B" w:rsidRDefault="00BB3D6B" w:rsidP="000970D9">
      <w:pPr>
        <w:rPr>
          <w:rFonts w:ascii="Times New Roman" w:hAnsi="Times New Roman" w:cs="Times New Roman"/>
          <w:sz w:val="24"/>
          <w:szCs w:val="24"/>
        </w:rPr>
      </w:pPr>
    </w:p>
    <w:p w14:paraId="785034AA" w14:textId="77777777" w:rsidR="000970D9" w:rsidRPr="00BB3D6B" w:rsidRDefault="000970D9" w:rsidP="000970D9">
      <w:pPr>
        <w:rPr>
          <w:rFonts w:ascii="Times New Roman" w:hAnsi="Times New Roman" w:cs="Times New Roman"/>
          <w:sz w:val="24"/>
          <w:szCs w:val="24"/>
        </w:rPr>
      </w:pPr>
      <w:r w:rsidRPr="00BB3D6B">
        <w:rPr>
          <w:rFonts w:ascii="Times New Roman" w:hAnsi="Times New Roman" w:cs="Times New Roman"/>
          <w:noProof/>
          <w:sz w:val="24"/>
          <w:szCs w:val="24"/>
        </w:rPr>
        <w:drawing>
          <wp:inline distT="0" distB="0" distL="0" distR="0" wp14:anchorId="1DF1B375" wp14:editId="5C7E4A2C">
            <wp:extent cx="5400040" cy="2700020"/>
            <wp:effectExtent l="0" t="0" r="0" b="5080"/>
            <wp:docPr id="168520132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2700020"/>
                    </a:xfrm>
                    <a:prstGeom prst="rect">
                      <a:avLst/>
                    </a:prstGeom>
                    <a:noFill/>
                    <a:ln>
                      <a:noFill/>
                    </a:ln>
                  </pic:spPr>
                </pic:pic>
              </a:graphicData>
            </a:graphic>
          </wp:inline>
        </w:drawing>
      </w:r>
    </w:p>
    <w:p w14:paraId="38014888" w14:textId="395773C5" w:rsidR="000970D9" w:rsidRPr="00BB3D6B" w:rsidRDefault="000970D9" w:rsidP="000970D9">
      <w:pPr>
        <w:rPr>
          <w:rFonts w:ascii="Times New Roman" w:hAnsi="Times New Roman" w:cs="Times New Roman"/>
          <w:sz w:val="24"/>
          <w:szCs w:val="24"/>
        </w:rPr>
      </w:pPr>
      <w:r w:rsidRPr="00BB3D6B">
        <w:rPr>
          <w:rFonts w:ascii="Times New Roman" w:hAnsi="Times New Roman" w:cs="Times New Roman"/>
          <w:sz w:val="24"/>
          <w:szCs w:val="24"/>
        </w:rPr>
        <w:t>Figure 3. Mean body weight</w:t>
      </w:r>
      <w:r w:rsidR="00BB3D6B">
        <w:rPr>
          <w:rFonts w:ascii="Times New Roman" w:hAnsi="Times New Roman" w:cs="Times New Roman" w:hint="eastAsia"/>
          <w:sz w:val="24"/>
          <w:szCs w:val="24"/>
        </w:rPr>
        <w:t>-</w:t>
      </w:r>
      <w:r w:rsidRPr="00BB3D6B">
        <w:rPr>
          <w:rFonts w:ascii="Times New Roman" w:hAnsi="Times New Roman" w:cs="Times New Roman"/>
          <w:sz w:val="24"/>
          <w:szCs w:val="24"/>
        </w:rPr>
        <w:t>at</w:t>
      </w:r>
      <w:r w:rsidR="00BB3D6B">
        <w:rPr>
          <w:rFonts w:ascii="Times New Roman" w:hAnsi="Times New Roman" w:cs="Times New Roman" w:hint="eastAsia"/>
          <w:sz w:val="24"/>
          <w:szCs w:val="24"/>
        </w:rPr>
        <w:t>-</w:t>
      </w:r>
      <w:r w:rsidRPr="00BB3D6B">
        <w:rPr>
          <w:rFonts w:ascii="Times New Roman" w:hAnsi="Times New Roman" w:cs="Times New Roman"/>
          <w:sz w:val="24"/>
          <w:szCs w:val="24"/>
        </w:rPr>
        <w:t>age of Japanese sardine for each year-class from Japanese domestic stock assessment of the Pacific stock of Japanese sardine.</w:t>
      </w:r>
    </w:p>
    <w:p w14:paraId="24485D1A" w14:textId="77777777" w:rsidR="000970D9" w:rsidRPr="00BB3D6B" w:rsidRDefault="000970D9" w:rsidP="000970D9">
      <w:pPr>
        <w:rPr>
          <w:rFonts w:ascii="Times New Roman" w:hAnsi="Times New Roman" w:cs="Times New Roman"/>
          <w:sz w:val="24"/>
          <w:szCs w:val="24"/>
        </w:rPr>
      </w:pPr>
    </w:p>
    <w:p w14:paraId="0728842B" w14:textId="77777777" w:rsidR="000970D9" w:rsidRPr="00BB3D6B" w:rsidRDefault="000970D9" w:rsidP="000970D9">
      <w:pPr>
        <w:widowControl/>
        <w:jc w:val="left"/>
        <w:rPr>
          <w:rFonts w:ascii="Times New Roman" w:hAnsi="Times New Roman" w:cs="Times New Roman"/>
          <w:sz w:val="24"/>
          <w:szCs w:val="24"/>
        </w:rPr>
      </w:pPr>
      <w:r w:rsidRPr="00BB3D6B">
        <w:rPr>
          <w:rFonts w:ascii="Times New Roman" w:hAnsi="Times New Roman" w:cs="Times New Roman"/>
          <w:sz w:val="24"/>
          <w:szCs w:val="24"/>
        </w:rPr>
        <w:br w:type="page"/>
      </w:r>
      <w:r w:rsidRPr="00BB3D6B">
        <w:rPr>
          <w:rFonts w:ascii="Times New Roman" w:hAnsi="Times New Roman" w:cs="Times New Roman"/>
          <w:sz w:val="24"/>
          <w:szCs w:val="24"/>
        </w:rPr>
        <w:lastRenderedPageBreak/>
        <w:t xml:space="preserve"> </w:t>
      </w:r>
    </w:p>
    <w:p w14:paraId="3863114E" w14:textId="77777777" w:rsidR="000970D9" w:rsidRPr="00BB3D6B" w:rsidRDefault="000970D9" w:rsidP="000970D9">
      <w:pPr>
        <w:rPr>
          <w:rFonts w:ascii="Times New Roman" w:hAnsi="Times New Roman" w:cs="Times New Roman"/>
          <w:sz w:val="24"/>
          <w:szCs w:val="24"/>
        </w:rPr>
      </w:pPr>
      <w:r w:rsidRPr="00BB3D6B">
        <w:rPr>
          <w:rFonts w:ascii="Times New Roman" w:hAnsi="Times New Roman" w:cs="Times New Roman"/>
          <w:noProof/>
          <w:sz w:val="24"/>
          <w:szCs w:val="24"/>
        </w:rPr>
        <w:drawing>
          <wp:inline distT="0" distB="0" distL="0" distR="0" wp14:anchorId="73F05C70" wp14:editId="67172873">
            <wp:extent cx="5397500" cy="2701925"/>
            <wp:effectExtent l="0" t="0" r="0" b="3175"/>
            <wp:docPr id="119731629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7500" cy="2701925"/>
                    </a:xfrm>
                    <a:prstGeom prst="rect">
                      <a:avLst/>
                    </a:prstGeom>
                    <a:noFill/>
                    <a:ln>
                      <a:noFill/>
                    </a:ln>
                  </pic:spPr>
                </pic:pic>
              </a:graphicData>
            </a:graphic>
          </wp:inline>
        </w:drawing>
      </w:r>
    </w:p>
    <w:p w14:paraId="4B9BB334" w14:textId="3B9563BD" w:rsidR="000970D9" w:rsidRPr="00BB3D6B" w:rsidRDefault="000970D9" w:rsidP="000970D9">
      <w:pPr>
        <w:rPr>
          <w:rFonts w:ascii="Times New Roman" w:hAnsi="Times New Roman" w:cs="Times New Roman"/>
          <w:sz w:val="24"/>
          <w:szCs w:val="24"/>
        </w:rPr>
      </w:pPr>
      <w:r w:rsidRPr="00BB3D6B">
        <w:rPr>
          <w:rFonts w:ascii="Times New Roman" w:hAnsi="Times New Roman" w:cs="Times New Roman"/>
          <w:sz w:val="24"/>
          <w:szCs w:val="24"/>
        </w:rPr>
        <w:t>Figure 4.  Maturity</w:t>
      </w:r>
      <w:r w:rsidR="00BB3D6B">
        <w:rPr>
          <w:rFonts w:ascii="Times New Roman" w:hAnsi="Times New Roman" w:cs="Times New Roman"/>
          <w:sz w:val="24"/>
          <w:szCs w:val="24"/>
        </w:rPr>
        <w:t>-at-age</w:t>
      </w:r>
      <w:r w:rsidRPr="00BB3D6B">
        <w:rPr>
          <w:rFonts w:ascii="Times New Roman" w:hAnsi="Times New Roman" w:cs="Times New Roman"/>
          <w:sz w:val="24"/>
          <w:szCs w:val="24"/>
        </w:rPr>
        <w:t xml:space="preserve"> of Japanese sardine from the Japanese domestic stock assessment of the Pacific stock of Japanese sardine.</w:t>
      </w:r>
    </w:p>
    <w:p w14:paraId="2F36B1E0" w14:textId="77777777" w:rsidR="000970D9" w:rsidRPr="00BB3D6B" w:rsidRDefault="000970D9" w:rsidP="000970D9">
      <w:pPr>
        <w:rPr>
          <w:rFonts w:ascii="Times New Roman" w:hAnsi="Times New Roman" w:cs="Times New Roman"/>
          <w:sz w:val="24"/>
          <w:szCs w:val="24"/>
        </w:rPr>
      </w:pPr>
    </w:p>
    <w:p w14:paraId="51E50006" w14:textId="77777777" w:rsidR="00507BFD" w:rsidRPr="00BB3D6B" w:rsidRDefault="00507BFD" w:rsidP="00507BFD">
      <w:pPr>
        <w:rPr>
          <w:rFonts w:ascii="Times New Roman" w:hAnsi="Times New Roman" w:cs="Times New Roman"/>
          <w:sz w:val="24"/>
          <w:szCs w:val="24"/>
        </w:rPr>
      </w:pPr>
    </w:p>
    <w:sectPr w:rsidR="00507BFD" w:rsidRPr="00BB3D6B" w:rsidSect="007F386C">
      <w:footerReference w:type="default" r:id="rId19"/>
      <w:headerReference w:type="first" r:id="rId20"/>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85A38" w14:textId="77777777" w:rsidR="0083174A" w:rsidRDefault="0083174A" w:rsidP="0080662F">
      <w:r>
        <w:separator/>
      </w:r>
    </w:p>
  </w:endnote>
  <w:endnote w:type="continuationSeparator" w:id="0">
    <w:p w14:paraId="7480891F" w14:textId="77777777" w:rsidR="0083174A" w:rsidRDefault="0083174A" w:rsidP="00806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224710"/>
      <w:docPartObj>
        <w:docPartGallery w:val="Page Numbers (Bottom of Page)"/>
        <w:docPartUnique/>
      </w:docPartObj>
    </w:sdtPr>
    <w:sdtContent>
      <w:p w14:paraId="720578E5" w14:textId="165B7A4A" w:rsidR="0080662F" w:rsidRDefault="0080662F">
        <w:pPr>
          <w:pStyle w:val="Footer"/>
          <w:jc w:val="center"/>
        </w:pPr>
        <w:r>
          <w:fldChar w:fldCharType="begin"/>
        </w:r>
        <w:r>
          <w:instrText>PAGE   \* MERGEFORMAT</w:instrText>
        </w:r>
        <w:r>
          <w:fldChar w:fldCharType="separate"/>
        </w:r>
        <w:r>
          <w:rPr>
            <w:lang w:val="ja-JP"/>
          </w:rPr>
          <w:t>2</w:t>
        </w:r>
        <w:r>
          <w:fldChar w:fldCharType="end"/>
        </w:r>
      </w:p>
    </w:sdtContent>
  </w:sdt>
  <w:p w14:paraId="5B673E38" w14:textId="77777777" w:rsidR="0080662F" w:rsidRDefault="00806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62ABC" w14:textId="77777777" w:rsidR="0083174A" w:rsidRDefault="0083174A" w:rsidP="0080662F">
      <w:r>
        <w:separator/>
      </w:r>
    </w:p>
  </w:footnote>
  <w:footnote w:type="continuationSeparator" w:id="0">
    <w:p w14:paraId="63134E1D" w14:textId="77777777" w:rsidR="0083174A" w:rsidRDefault="0083174A" w:rsidP="00806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4B65" w14:textId="532FFE5A" w:rsidR="0080662F" w:rsidRDefault="007F386C">
    <w:pPr>
      <w:pStyle w:val="Header"/>
    </w:pPr>
    <w:r>
      <w:rPr>
        <w:noProof/>
        <w:sz w:val="14"/>
        <w:szCs w:val="14"/>
        <w:lang w:eastAsia="en-US"/>
      </w:rPr>
      <mc:AlternateContent>
        <mc:Choice Requires="wps">
          <w:drawing>
            <wp:anchor distT="0" distB="0" distL="114300" distR="114300" simplePos="0" relativeHeight="251660288" behindDoc="1" locked="0" layoutInCell="1" allowOverlap="0" wp14:anchorId="2AE0DA8D" wp14:editId="5237895E">
              <wp:simplePos x="0" y="0"/>
              <wp:positionH relativeFrom="margin">
                <wp:posOffset>1169035</wp:posOffset>
              </wp:positionH>
              <wp:positionV relativeFrom="paragraph">
                <wp:posOffset>408940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2322427" w14:textId="77777777" w:rsidR="007F386C" w:rsidRPr="00D42168" w:rsidRDefault="007F386C" w:rsidP="007F386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E0DA8D" id="_x0000_t202" coordsize="21600,21600" o:spt="202" path="m,l,21600r21600,l21600,xe">
              <v:stroke joinstyle="miter"/>
              <v:path gradientshapeok="t" o:connecttype="rect"/>
            </v:shapetype>
            <v:shape id="テキスト ボックス 15" o:spid="_x0000_s1026" type="#_x0000_t202" style="position:absolute;left:0;text-align:left;margin-left:92.05pt;margin-top:32.2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" o:allowoverlap="f" filled="f" stroked="f" strokeweight=".5pt">
              <v:textbox>
                <w:txbxContent>
                  <w:p w14:paraId="62322427" w14:textId="77777777" w:rsidR="007F386C" w:rsidRPr="00D42168" w:rsidRDefault="007F386C" w:rsidP="007F386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9264" behindDoc="1" locked="0" layoutInCell="1" allowOverlap="1" wp14:anchorId="7D000F29" wp14:editId="0412501B">
          <wp:simplePos x="0" y="0"/>
          <wp:positionH relativeFrom="margin">
            <wp:posOffset>2347506</wp:posOffset>
          </wp:positionH>
          <wp:positionV relativeFrom="paragraph">
            <wp:posOffset>-404038</wp:posOffset>
          </wp:positionV>
          <wp:extent cx="1047750" cy="770255"/>
          <wp:effectExtent l="0" t="0" r="0" b="0"/>
          <wp:wrapNone/>
          <wp:docPr id="8843547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6C3"/>
    <w:rsid w:val="00040F00"/>
    <w:rsid w:val="00067228"/>
    <w:rsid w:val="000970D9"/>
    <w:rsid w:val="000A6D8E"/>
    <w:rsid w:val="000D0246"/>
    <w:rsid w:val="002158DD"/>
    <w:rsid w:val="00321436"/>
    <w:rsid w:val="00393B2B"/>
    <w:rsid w:val="003D0240"/>
    <w:rsid w:val="0046737C"/>
    <w:rsid w:val="00507BFD"/>
    <w:rsid w:val="006119DB"/>
    <w:rsid w:val="0071701B"/>
    <w:rsid w:val="00730955"/>
    <w:rsid w:val="00756DDD"/>
    <w:rsid w:val="007F386C"/>
    <w:rsid w:val="0080662F"/>
    <w:rsid w:val="0083174A"/>
    <w:rsid w:val="008976C3"/>
    <w:rsid w:val="008E1E4D"/>
    <w:rsid w:val="009E49AE"/>
    <w:rsid w:val="00A20F43"/>
    <w:rsid w:val="00A36A66"/>
    <w:rsid w:val="00B94752"/>
    <w:rsid w:val="00BB3D6B"/>
    <w:rsid w:val="00BF7484"/>
    <w:rsid w:val="00E45272"/>
    <w:rsid w:val="00F260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F809DF"/>
  <w15:chartTrackingRefBased/>
  <w15:docId w15:val="{8C509EDC-A2DD-43A3-9F82-EA7B561B1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62F"/>
    <w:pPr>
      <w:widowControl w:val="0"/>
      <w:jc w:val="both"/>
    </w:pPr>
  </w:style>
  <w:style w:type="paragraph" w:styleId="Heading1">
    <w:name w:val="heading 1"/>
    <w:basedOn w:val="Normal"/>
    <w:next w:val="Normal"/>
    <w:link w:val="Heading1Char"/>
    <w:uiPriority w:val="9"/>
    <w:qFormat/>
    <w:rsid w:val="008976C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8976C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8976C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8976C3"/>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8976C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8976C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8976C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8976C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8976C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6C3"/>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8976C3"/>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8976C3"/>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8976C3"/>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8976C3"/>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8976C3"/>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8976C3"/>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8976C3"/>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8976C3"/>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8976C3"/>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6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6C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6C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8976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76C3"/>
    <w:rPr>
      <w:i/>
      <w:iCs/>
      <w:color w:val="404040" w:themeColor="text1" w:themeTint="BF"/>
    </w:rPr>
  </w:style>
  <w:style w:type="paragraph" w:styleId="ListParagraph">
    <w:name w:val="List Paragraph"/>
    <w:basedOn w:val="Normal"/>
    <w:uiPriority w:val="34"/>
    <w:qFormat/>
    <w:rsid w:val="008976C3"/>
    <w:pPr>
      <w:ind w:left="720"/>
      <w:contextualSpacing/>
    </w:pPr>
  </w:style>
  <w:style w:type="character" w:styleId="IntenseEmphasis">
    <w:name w:val="Intense Emphasis"/>
    <w:basedOn w:val="DefaultParagraphFont"/>
    <w:uiPriority w:val="21"/>
    <w:qFormat/>
    <w:rsid w:val="008976C3"/>
    <w:rPr>
      <w:i/>
      <w:iCs/>
      <w:color w:val="0F4761" w:themeColor="accent1" w:themeShade="BF"/>
    </w:rPr>
  </w:style>
  <w:style w:type="paragraph" w:styleId="IntenseQuote">
    <w:name w:val="Intense Quote"/>
    <w:basedOn w:val="Normal"/>
    <w:next w:val="Normal"/>
    <w:link w:val="IntenseQuoteChar"/>
    <w:uiPriority w:val="30"/>
    <w:qFormat/>
    <w:rsid w:val="00897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6C3"/>
    <w:rPr>
      <w:i/>
      <w:iCs/>
      <w:color w:val="0F4761" w:themeColor="accent1" w:themeShade="BF"/>
    </w:rPr>
  </w:style>
  <w:style w:type="character" w:styleId="IntenseReference">
    <w:name w:val="Intense Reference"/>
    <w:basedOn w:val="DefaultParagraphFont"/>
    <w:uiPriority w:val="32"/>
    <w:qFormat/>
    <w:rsid w:val="008976C3"/>
    <w:rPr>
      <w:b/>
      <w:bCs/>
      <w:smallCaps/>
      <w:color w:val="0F4761" w:themeColor="accent1" w:themeShade="BF"/>
      <w:spacing w:val="5"/>
    </w:rPr>
  </w:style>
  <w:style w:type="character" w:styleId="CommentReference">
    <w:name w:val="annotation reference"/>
    <w:basedOn w:val="DefaultParagraphFont"/>
    <w:uiPriority w:val="99"/>
    <w:semiHidden/>
    <w:unhideWhenUsed/>
    <w:rsid w:val="008976C3"/>
    <w:rPr>
      <w:sz w:val="18"/>
      <w:szCs w:val="18"/>
    </w:rPr>
  </w:style>
  <w:style w:type="paragraph" w:styleId="CommentText">
    <w:name w:val="annotation text"/>
    <w:basedOn w:val="Normal"/>
    <w:link w:val="CommentTextChar"/>
    <w:uiPriority w:val="99"/>
    <w:unhideWhenUsed/>
    <w:rsid w:val="008976C3"/>
    <w:pPr>
      <w:jc w:val="left"/>
    </w:pPr>
  </w:style>
  <w:style w:type="character" w:customStyle="1" w:styleId="CommentTextChar">
    <w:name w:val="Comment Text Char"/>
    <w:basedOn w:val="DefaultParagraphFont"/>
    <w:link w:val="CommentText"/>
    <w:uiPriority w:val="99"/>
    <w:rsid w:val="008976C3"/>
  </w:style>
  <w:style w:type="paragraph" w:styleId="Revision">
    <w:name w:val="Revision"/>
    <w:hidden/>
    <w:uiPriority w:val="99"/>
    <w:semiHidden/>
    <w:rsid w:val="0071701B"/>
  </w:style>
  <w:style w:type="paragraph" w:styleId="Header">
    <w:name w:val="header"/>
    <w:basedOn w:val="Normal"/>
    <w:link w:val="HeaderChar"/>
    <w:uiPriority w:val="99"/>
    <w:unhideWhenUsed/>
    <w:rsid w:val="0080662F"/>
    <w:pPr>
      <w:tabs>
        <w:tab w:val="center" w:pos="4252"/>
        <w:tab w:val="right" w:pos="8504"/>
      </w:tabs>
      <w:snapToGrid w:val="0"/>
    </w:pPr>
  </w:style>
  <w:style w:type="character" w:customStyle="1" w:styleId="HeaderChar">
    <w:name w:val="Header Char"/>
    <w:basedOn w:val="DefaultParagraphFont"/>
    <w:link w:val="Header"/>
    <w:uiPriority w:val="99"/>
    <w:rsid w:val="0080662F"/>
  </w:style>
  <w:style w:type="paragraph" w:styleId="Footer">
    <w:name w:val="footer"/>
    <w:basedOn w:val="Normal"/>
    <w:link w:val="FooterChar"/>
    <w:uiPriority w:val="99"/>
    <w:unhideWhenUsed/>
    <w:rsid w:val="0080662F"/>
    <w:pPr>
      <w:tabs>
        <w:tab w:val="center" w:pos="4252"/>
        <w:tab w:val="right" w:pos="8504"/>
      </w:tabs>
      <w:snapToGrid w:val="0"/>
    </w:pPr>
  </w:style>
  <w:style w:type="character" w:customStyle="1" w:styleId="FooterChar">
    <w:name w:val="Footer Char"/>
    <w:basedOn w:val="DefaultParagraphFont"/>
    <w:link w:val="Footer"/>
    <w:uiPriority w:val="99"/>
    <w:rsid w:val="0080662F"/>
  </w:style>
  <w:style w:type="character" w:styleId="Hyperlink">
    <w:name w:val="Hyperlink"/>
    <w:basedOn w:val="DefaultParagraphFont"/>
    <w:uiPriority w:val="99"/>
    <w:unhideWhenUsed/>
    <w:rsid w:val="00067228"/>
    <w:rPr>
      <w:color w:val="467886" w:themeColor="hyperlink"/>
      <w:u w:val="single"/>
    </w:rPr>
  </w:style>
  <w:style w:type="character" w:styleId="UnresolvedMention">
    <w:name w:val="Unresolved Mention"/>
    <w:basedOn w:val="DefaultParagraphFont"/>
    <w:uiPriority w:val="99"/>
    <w:semiHidden/>
    <w:unhideWhenUsed/>
    <w:rsid w:val="00067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bchan.fra.go.jp/wpt/wp-content/uploads/2026/03/details_2025_01.pdf"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1016/j.fishres.2022.106461"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bchan.fra.go.jp/wpt/wp-content/uploads/2023/08/details_2016_001.pdf"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s://doi.org/10.34423/jsfo.77.2_59"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oi.org/10.2331/fishsci.68.sup1_210" TargetMode="External"/><Relationship Id="rId14" Type="http://schemas.openxmlformats.org/officeDocument/2006/relationships/hyperlink" Target="https://doi.org/10.1111/fog.7005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AD3AAC5A022074BA2AED6BE8DA7117B" ma:contentTypeVersion="3" ma:contentTypeDescription="新しいドキュメントを作成します。" ma:contentTypeScope="" ma:versionID="be8e8a7db5fe68b1c88632294f340aad">
  <xsd:schema xmlns:xsd="http://www.w3.org/2001/XMLSchema" xmlns:xs="http://www.w3.org/2001/XMLSchema" xmlns:p="http://schemas.microsoft.com/office/2006/metadata/properties" xmlns:ns2="12d93c60-cfd2-4684-b4fa-f8fc49807bd8" targetNamespace="http://schemas.microsoft.com/office/2006/metadata/properties" ma:root="true" ma:fieldsID="3a74663b8893e603c5a054017d07f126" ns2:_="">
    <xsd:import namespace="12d93c60-cfd2-4684-b4fa-f8fc49807bd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93c60-cfd2-4684-b4fa-f8fc49807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4BA78D-05A7-47C5-B1F1-DD6EB0444532}">
  <ds:schemaRefs>
    <ds:schemaRef ds:uri="http://schemas.microsoft.com/sharepoint/v3/contenttype/forms"/>
  </ds:schemaRefs>
</ds:datastoreItem>
</file>

<file path=customXml/itemProps2.xml><?xml version="1.0" encoding="utf-8"?>
<ds:datastoreItem xmlns:ds="http://schemas.openxmlformats.org/officeDocument/2006/customXml" ds:itemID="{BCE139BA-1758-4B14-8650-D6CF1E14DD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0C8056-9F95-4023-A2E5-60C298A9B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93c60-cfd2-4684-b4fa-f8fc49807b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11</Pages>
  <Words>2833</Words>
  <Characters>16149</Characters>
  <Application>Microsoft Office Word</Application>
  <DocSecurity>0</DocSecurity>
  <Lines>134</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Akihiro Manabe</dc:creator>
  <cp:keywords/>
  <dc:description/>
  <cp:lastModifiedBy>Aleksandr Zavolokin</cp:lastModifiedBy>
  <cp:revision>11</cp:revision>
  <dcterms:created xsi:type="dcterms:W3CDTF">2026-07-10T01:48:00Z</dcterms:created>
  <dcterms:modified xsi:type="dcterms:W3CDTF">2026-07-17T22:15:00Z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0x0101003AD3AAC5A022074BA2AED6BE8DA7117B</vt:lpwstr>
  </property>
</Properties>
</file>