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7294B" w14:textId="2B126345" w:rsidR="00E86DF3" w:rsidRPr="00E821AA" w:rsidRDefault="00982083" w:rsidP="00E821AA">
      <w:pPr>
        <w:spacing w:before="360" w:after="120"/>
        <w:jc w:val="right"/>
        <w:rPr>
          <w:rFonts w:ascii="Times New Roman" w:hAnsi="Times New Roman" w:cs="Times New Roman"/>
          <w:sz w:val="24"/>
        </w:rPr>
      </w:pPr>
      <w:r w:rsidRPr="00E821AA">
        <w:rPr>
          <w:rFonts w:ascii="Times New Roman" w:hAnsi="Times New Roman" w:cs="Times New Roman"/>
          <w:sz w:val="24"/>
        </w:rPr>
        <w:t>NPFC-2026-SSC NFS03-WP10</w:t>
      </w:r>
      <w:r w:rsidR="00E821AA" w:rsidRPr="00E821AA">
        <w:rPr>
          <w:rFonts w:ascii="Times New Roman" w:hAnsi="Times New Roman" w:cs="Times New Roman"/>
          <w:sz w:val="24"/>
        </w:rPr>
        <w:t xml:space="preserve"> (Rev. 1)</w:t>
      </w:r>
    </w:p>
    <w:p w14:paraId="60A7294C" w14:textId="77777777" w:rsidR="00E86DF3" w:rsidRDefault="00982083">
      <w:pPr>
        <w:jc w:val="center"/>
        <w:rPr>
          <w:rFonts w:ascii="Times New Roman" w:hAnsi="Times New Roman" w:cs="Times New Roman"/>
          <w:b/>
          <w:bCs/>
          <w:sz w:val="28"/>
          <w:szCs w:val="28"/>
        </w:rPr>
      </w:pPr>
      <w:r>
        <w:rPr>
          <w:rFonts w:ascii="Times New Roman" w:hAnsi="Times New Roman" w:cs="Times New Roman"/>
          <w:b/>
          <w:bCs/>
          <w:sz w:val="28"/>
          <w:szCs w:val="28"/>
        </w:rPr>
        <w:t>Stock assessment of Neon flying squid in the Northwest Pacific using</w:t>
      </w:r>
      <w:r>
        <w:rPr>
          <w:rFonts w:ascii="Times New Roman" w:hAnsi="Times New Roman" w:cs="Times New Roman" w:hint="eastAsia"/>
          <w:b/>
          <w:bCs/>
          <w:sz w:val="28"/>
          <w:szCs w:val="28"/>
        </w:rPr>
        <w:t xml:space="preserve"> </w:t>
      </w:r>
      <w:r>
        <w:rPr>
          <w:rFonts w:ascii="Times New Roman" w:hAnsi="Times New Roman" w:cs="Times New Roman"/>
          <w:b/>
          <w:bCs/>
          <w:sz w:val="28"/>
          <w:szCs w:val="28"/>
        </w:rPr>
        <w:t>JABBA model up to 2024</w:t>
      </w:r>
    </w:p>
    <w:p w14:paraId="60A7294D" w14:textId="77777777" w:rsidR="00E86DF3" w:rsidRDefault="00982083">
      <w:pPr>
        <w:jc w:val="center"/>
        <w:rPr>
          <w:rFonts w:ascii="Times New Roman" w:hAnsi="Times New Roman" w:cs="Times New Roman"/>
          <w:sz w:val="28"/>
          <w:szCs w:val="28"/>
        </w:rPr>
      </w:pPr>
      <w:proofErr w:type="spellStart"/>
      <w:r>
        <w:rPr>
          <w:rFonts w:ascii="Times New Roman" w:hAnsi="Times New Roman" w:cs="Times New Roman"/>
          <w:sz w:val="28"/>
          <w:szCs w:val="28"/>
        </w:rPr>
        <w:t>Mingyan</w:t>
      </w:r>
      <w:proofErr w:type="spellEnd"/>
      <w:r>
        <w:rPr>
          <w:rFonts w:ascii="Times New Roman" w:hAnsi="Times New Roman" w:cs="Times New Roman"/>
          <w:sz w:val="28"/>
          <w:szCs w:val="28"/>
        </w:rPr>
        <w:t xml:space="preserve"> Song,</w:t>
      </w:r>
      <w:r>
        <w:rPr>
          <w:rFonts w:ascii="Times New Roman" w:hAnsi="Times New Roman" w:cs="Times New Roman" w:hint="eastAsia"/>
          <w:sz w:val="28"/>
          <w:szCs w:val="28"/>
        </w:rPr>
        <w:t xml:space="preserve"> </w:t>
      </w:r>
      <w:proofErr w:type="spellStart"/>
      <w:r>
        <w:rPr>
          <w:rFonts w:ascii="Times New Roman" w:hAnsi="Times New Roman" w:cs="Times New Roman" w:hint="eastAsia"/>
          <w:sz w:val="28"/>
          <w:szCs w:val="28"/>
        </w:rPr>
        <w:t>Xingwang</w:t>
      </w:r>
      <w:proofErr w:type="spellEnd"/>
      <w:r>
        <w:rPr>
          <w:rFonts w:ascii="Times New Roman" w:hAnsi="Times New Roman" w:cs="Times New Roman" w:hint="eastAsia"/>
          <w:sz w:val="28"/>
          <w:szCs w:val="28"/>
        </w:rPr>
        <w:t xml:space="preserve"> Zhang, Libin Dai, </w:t>
      </w:r>
      <w:r>
        <w:rPr>
          <w:rFonts w:ascii="Times New Roman" w:hAnsi="Times New Roman" w:cs="Times New Roman"/>
          <w:sz w:val="28"/>
          <w:szCs w:val="28"/>
        </w:rPr>
        <w:t>Jintao Wang</w:t>
      </w:r>
    </w:p>
    <w:p w14:paraId="60A7294E" w14:textId="77777777" w:rsidR="00E86DF3" w:rsidRDefault="00982083">
      <w:pPr>
        <w:jc w:val="center"/>
        <w:rPr>
          <w:rFonts w:ascii="Times New Roman" w:hAnsi="Times New Roman" w:cs="Times New Roman"/>
          <w:b/>
          <w:bCs/>
          <w:sz w:val="28"/>
          <w:szCs w:val="28"/>
        </w:rPr>
      </w:pPr>
      <w:r>
        <w:rPr>
          <w:rFonts w:ascii="Times New Roman" w:hAnsi="Times New Roman" w:cs="Times New Roman" w:hint="eastAsia"/>
          <w:sz w:val="28"/>
          <w:szCs w:val="28"/>
        </w:rPr>
        <w:t>Shanghai Ocean University</w:t>
      </w:r>
    </w:p>
    <w:p w14:paraId="60A7294F" w14:textId="77777777" w:rsidR="00E86DF3" w:rsidRDefault="00982083">
      <w:pPr>
        <w:pStyle w:val="Heading1"/>
        <w:rPr>
          <w:rFonts w:ascii="Times New Roman" w:hAnsi="Times New Roman" w:hint="default"/>
          <w:sz w:val="28"/>
          <w:szCs w:val="28"/>
        </w:rPr>
      </w:pPr>
      <w:r>
        <w:rPr>
          <w:rFonts w:ascii="Times New Roman" w:hAnsi="Times New Roman"/>
          <w:sz w:val="28"/>
          <w:szCs w:val="28"/>
        </w:rPr>
        <w:t>SUMMARY</w:t>
      </w:r>
    </w:p>
    <w:p w14:paraId="60A72950" w14:textId="77777777" w:rsidR="00E86DF3" w:rsidRDefault="00982083">
      <w:pPr>
        <w:ind w:firstLineChars="100" w:firstLine="240"/>
        <w:rPr>
          <w:sz w:val="24"/>
        </w:rPr>
      </w:pPr>
      <w:r>
        <w:rPr>
          <w:rFonts w:ascii="Times New Roman" w:hAnsi="Times New Roman" w:cs="Times New Roman"/>
          <w:sz w:val="24"/>
        </w:rPr>
        <w:t xml:space="preserve">This study provides an updated stock assessment for two seasonal cohorts (winter-spring and autumn) and the stock-wide population through 2024, using JABBA (Just Another Bayesian Biomass Assessment). Abundance indices were derived from the Chinese squid-jigging fishery, including nominal CPUE, GAM-standardized CPUE, and RF-standardized CPUE. Annual catch data were obtained from the official NPFC compilation “NPFC-2025-AR-Annual Summary Footprint - Squids”, aggregating reported catches from </w:t>
      </w:r>
      <w:r>
        <w:rPr>
          <w:rFonts w:ascii="Times New Roman" w:hAnsi="Times New Roman" w:cs="Times New Roman" w:hint="eastAsia"/>
          <w:sz w:val="24"/>
        </w:rPr>
        <w:t>all members</w:t>
      </w:r>
      <w:r>
        <w:rPr>
          <w:rFonts w:ascii="Times New Roman" w:hAnsi="Times New Roman" w:cs="Times New Roman"/>
          <w:sz w:val="24"/>
        </w:rPr>
        <w:t xml:space="preserve">. A total of nine assessment scenarios were conducted, covering three stock units × three abundance indices. The scenario based on RF-standardized CPUE for the stock-wide population was designated as the base case. All models converged successfully, and residual diagnostics confirmed satisfactory model fit. Retrospective analysis showed negligible bias (Mohn’s ρ </w:t>
      </w:r>
      <w:r>
        <w:rPr>
          <w:rFonts w:ascii="Times New Roman" w:hAnsi="Times New Roman" w:cs="Times New Roman" w:hint="eastAsia"/>
          <w:sz w:val="24"/>
        </w:rPr>
        <w:t>&lt;</w:t>
      </w:r>
      <w:r>
        <w:rPr>
          <w:rFonts w:ascii="Times New Roman" w:hAnsi="Times New Roman" w:cs="Times New Roman"/>
          <w:sz w:val="24"/>
        </w:rPr>
        <w:t xml:space="preserve"> 0.</w:t>
      </w:r>
      <w:r>
        <w:rPr>
          <w:rFonts w:ascii="Times New Roman" w:hAnsi="Times New Roman" w:cs="Times New Roman" w:hint="eastAsia"/>
          <w:sz w:val="24"/>
        </w:rPr>
        <w:t>1</w:t>
      </w:r>
      <w:r>
        <w:rPr>
          <w:rFonts w:ascii="Times New Roman" w:hAnsi="Times New Roman" w:cs="Times New Roman"/>
          <w:sz w:val="24"/>
        </w:rPr>
        <w:t xml:space="preserve">). </w:t>
      </w:r>
      <w:r>
        <w:rPr>
          <w:rFonts w:ascii="Times New Roman" w:eastAsia="Segoe UI" w:hAnsi="Times New Roman" w:cs="Times New Roman"/>
          <w:color w:val="0F1115"/>
          <w:sz w:val="24"/>
          <w:shd w:val="clear" w:color="auto" w:fill="FFFFFF"/>
        </w:rPr>
        <w:t>The results consistently indicated that in 2024, none of the stock units were overfished (B/B</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&gt; 1) and overfishing was not oc</w:t>
      </w:r>
      <w:r>
        <w:rPr>
          <w:rFonts w:ascii="Times New Roman" w:eastAsia="Segoe UI" w:hAnsi="Times New Roman" w:cs="Times New Roman"/>
          <w:color w:val="0F1115"/>
          <w:sz w:val="24"/>
          <w:shd w:val="clear" w:color="auto" w:fill="FFFFFF"/>
        </w:rPr>
        <w:t>curring (F/F</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 1). Short-term projections further confirmed the stock’s resilience to catch levels within the recent historical range. These findings provide a scientific basis for considering the current exploitation of neon flying squid as sustainable under the NPFC management framework.</w:t>
      </w:r>
    </w:p>
    <w:p w14:paraId="60A72951" w14:textId="77777777" w:rsidR="00E86DF3" w:rsidRDefault="00982083">
      <w:pPr>
        <w:pStyle w:val="Heading1"/>
        <w:keepNext/>
        <w:keepLines/>
        <w:rPr>
          <w:rFonts w:hint="default"/>
          <w:sz w:val="24"/>
          <w:szCs w:val="24"/>
        </w:rPr>
      </w:pPr>
      <w:r>
        <w:rPr>
          <w:rFonts w:ascii="Times New Roman" w:hAnsi="Times New Roman" w:hint="default"/>
          <w:sz w:val="28"/>
          <w:szCs w:val="28"/>
        </w:rPr>
        <w:t xml:space="preserve">1. Introduction </w:t>
      </w:r>
    </w:p>
    <w:p w14:paraId="60A72952"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xml:space="preserve">, hereafter referred to as NFS) holds significant development potential among contemporary marine biological resources and represents an economically important cephalopod species, widely distributed in the Pacific Ocean and its surrounding waters (Roper et al., 1984). </w:t>
      </w:r>
      <w:r>
        <w:rPr>
          <w:rFonts w:ascii="Times New Roman" w:hAnsi="Times New Roman" w:cs="Times New Roman" w:hint="eastAsia"/>
          <w:sz w:val="24"/>
        </w:rPr>
        <w:t>Its</w:t>
      </w:r>
      <w:r>
        <w:rPr>
          <w:rFonts w:ascii="Times New Roman" w:hAnsi="Times New Roman" w:cs="Times New Roman"/>
          <w:sz w:val="24"/>
        </w:rPr>
        <w:t xml:space="preserve"> population is structured into two main seasonal cohorts: </w:t>
      </w:r>
      <w:r>
        <w:rPr>
          <w:rFonts w:ascii="Times New Roman" w:hAnsi="Times New Roman" w:cs="Times New Roman" w:hint="eastAsia"/>
          <w:sz w:val="24"/>
        </w:rPr>
        <w:t>the</w:t>
      </w:r>
      <w:r>
        <w:rPr>
          <w:rFonts w:ascii="Times New Roman" w:hAnsi="Times New Roman" w:cs="Times New Roman"/>
          <w:sz w:val="24"/>
        </w:rPr>
        <w:t xml:space="preserve"> autumn cohort and </w:t>
      </w:r>
      <w:r>
        <w:rPr>
          <w:rFonts w:ascii="Times New Roman" w:hAnsi="Times New Roman" w:cs="Times New Roman" w:hint="eastAsia"/>
          <w:sz w:val="24"/>
        </w:rPr>
        <w:t>the</w:t>
      </w:r>
      <w:r>
        <w:rPr>
          <w:rFonts w:ascii="Times New Roman" w:hAnsi="Times New Roman" w:cs="Times New Roman"/>
          <w:sz w:val="24"/>
        </w:rPr>
        <w:t xml:space="preserve"> winter-spring cohort</w:t>
      </w:r>
      <w:r>
        <w:rPr>
          <w:rFonts w:ascii="Times New Roman" w:hAnsi="Times New Roman" w:cs="Times New Roman" w:hint="eastAsia"/>
          <w:sz w:val="24"/>
        </w:rPr>
        <w:t>, with distinct spatial and temporal distributions.</w:t>
      </w:r>
      <w:r>
        <w:rPr>
          <w:rFonts w:ascii="Times New Roman" w:hAnsi="Times New Roman" w:cs="Times New Roman"/>
          <w:sz w:val="24"/>
        </w:rPr>
        <w:t xml:space="preserve"> (</w:t>
      </w:r>
      <w:proofErr w:type="spellStart"/>
      <w:r>
        <w:rPr>
          <w:rFonts w:ascii="Times New Roman" w:hAnsi="Times New Roman" w:cs="Times New Roman"/>
          <w:sz w:val="24"/>
        </w:rPr>
        <w:t>Yatsu</w:t>
      </w:r>
      <w:proofErr w:type="spellEnd"/>
      <w:r>
        <w:rPr>
          <w:rFonts w:ascii="Times New Roman" w:hAnsi="Times New Roman" w:cs="Times New Roman"/>
          <w:sz w:val="24"/>
        </w:rPr>
        <w:t xml:space="preserve"> et al., 1997, 1998). The North Pacific Fishery Commission (NPFC) is the </w:t>
      </w:r>
      <w:proofErr w:type="gramStart"/>
      <w:r>
        <w:rPr>
          <w:rFonts w:ascii="Times New Roman" w:hAnsi="Times New Roman" w:cs="Times New Roman"/>
          <w:sz w:val="24"/>
        </w:rPr>
        <w:t>respo</w:t>
      </w:r>
      <w:r>
        <w:rPr>
          <w:rFonts w:ascii="Times New Roman" w:hAnsi="Times New Roman" w:cs="Times New Roman"/>
          <w:sz w:val="24"/>
        </w:rPr>
        <w:t>nsible international body</w:t>
      </w:r>
      <w:proofErr w:type="gramEnd"/>
      <w:r>
        <w:rPr>
          <w:rFonts w:ascii="Times New Roman" w:hAnsi="Times New Roman" w:cs="Times New Roman"/>
          <w:sz w:val="24"/>
        </w:rPr>
        <w:t xml:space="preserve"> for the management of squid fisheries, including the NFS, in the North Pacific. To support science-based management, the NPFC Scientific Committee established the </w:t>
      </w:r>
      <w:r>
        <w:rPr>
          <w:rFonts w:ascii="Times New Roman" w:hAnsi="Times New Roman" w:cs="Times New Roman"/>
          <w:sz w:val="24"/>
        </w:rPr>
        <w:lastRenderedPageBreak/>
        <w:t xml:space="preserve">Small Scientific Committee on Neon Flying Squid (SSC NFS) to conduct regular stock assessments of this species. </w:t>
      </w:r>
    </w:p>
    <w:p w14:paraId="60A72953" w14:textId="77777777" w:rsidR="00E86DF3" w:rsidRDefault="00982083">
      <w:pPr>
        <w:spacing w:line="276" w:lineRule="auto"/>
        <w:ind w:firstLineChars="200" w:firstLine="480"/>
        <w:rPr>
          <w:rFonts w:ascii="Times New Roman" w:eastAsia="Segoe UI" w:hAnsi="Times New Roman" w:cs="Times New Roman"/>
          <w:sz w:val="24"/>
          <w:shd w:val="clear" w:color="auto" w:fill="FFFFFF"/>
        </w:rPr>
      </w:pPr>
      <w:r>
        <w:rPr>
          <w:rFonts w:ascii="Times New Roman" w:eastAsia="Segoe UI" w:hAnsi="Times New Roman" w:cs="Times New Roman"/>
          <w:sz w:val="24"/>
          <w:shd w:val="clear" w:color="auto" w:fill="FFFFFF"/>
        </w:rPr>
        <w:t xml:space="preserve">This report provides an updated stock assessment of </w:t>
      </w:r>
      <w:r>
        <w:rPr>
          <w:rFonts w:ascii="Times New Roman" w:eastAsia="SimSun" w:hAnsi="Times New Roman" w:cs="Times New Roman" w:hint="eastAsia"/>
          <w:sz w:val="24"/>
          <w:shd w:val="clear" w:color="auto" w:fill="FFFFFF"/>
        </w:rPr>
        <w:t>NFS</w:t>
      </w:r>
      <w:r>
        <w:rPr>
          <w:rFonts w:ascii="Times New Roman" w:eastAsia="Segoe UI" w:hAnsi="Times New Roman" w:cs="Times New Roman"/>
          <w:sz w:val="24"/>
          <w:shd w:val="clear" w:color="auto" w:fill="FFFFFF"/>
        </w:rPr>
        <w:t xml:space="preserve"> for the NPFC Scientific Committee, covering both seasonal cohorts and the stock-wide population through 2024. Abundance indices derived from the Chinese squid-jigging fishery are paired with annual catch data from the official NPFC compilation "NPFC-2025-AR-Annual Summary Footprint - Squids," which aggregates reported catches from </w:t>
      </w:r>
      <w:r>
        <w:rPr>
          <w:rFonts w:ascii="Times New Roman" w:hAnsi="Times New Roman" w:cs="Times New Roman"/>
          <w:sz w:val="24"/>
        </w:rPr>
        <w:t>all members,</w:t>
      </w:r>
      <w:r>
        <w:rPr>
          <w:rFonts w:ascii="Times New Roman" w:eastAsia="Segoe UI" w:hAnsi="Times New Roman" w:cs="Times New Roman"/>
          <w:sz w:val="24"/>
          <w:shd w:val="clear" w:color="auto" w:fill="FFFFFF"/>
        </w:rPr>
        <w:t xml:space="preserve"> including China, Japan, Korea, Russia, Chinese Taipei, and Vanuatu. The temporal scope of the assessment reflects the availability of consistent fishery data acro</w:t>
      </w:r>
      <w:r>
        <w:rPr>
          <w:rFonts w:ascii="Times New Roman" w:eastAsia="Segoe UI" w:hAnsi="Times New Roman" w:cs="Times New Roman"/>
          <w:sz w:val="24"/>
          <w:shd w:val="clear" w:color="auto" w:fill="FFFFFF"/>
        </w:rPr>
        <w:t>ss all contributing sources.</w:t>
      </w:r>
    </w:p>
    <w:p w14:paraId="60A72954" w14:textId="77777777" w:rsidR="00E86DF3" w:rsidRDefault="00982083">
      <w:pPr>
        <w:pStyle w:val="Heading1"/>
        <w:keepNext/>
        <w:keepLines/>
        <w:rPr>
          <w:rFonts w:ascii="Times New Roman" w:eastAsiaTheme="minorEastAsia" w:hAnsi="Times New Roman" w:hint="default"/>
          <w:sz w:val="28"/>
          <w:szCs w:val="28"/>
        </w:rPr>
      </w:pPr>
      <w:r>
        <w:rPr>
          <w:rFonts w:ascii="Times New Roman" w:hAnsi="Times New Roman"/>
          <w:sz w:val="28"/>
          <w:szCs w:val="28"/>
        </w:rPr>
        <w:t>2. Materials and Methods</w:t>
      </w:r>
    </w:p>
    <w:p w14:paraId="60A72955" w14:textId="77777777" w:rsidR="00E86DF3" w:rsidRDefault="00982083">
      <w:pPr>
        <w:pStyle w:val="Heading2"/>
        <w:spacing w:line="240" w:lineRule="auto"/>
        <w:rPr>
          <w:rFonts w:ascii="Times New Roman" w:eastAsia="Segoe UI" w:hAnsi="Times New Roman" w:cs="Times New Roman"/>
          <w:sz w:val="24"/>
          <w:szCs w:val="24"/>
          <w:shd w:val="clear" w:color="auto" w:fill="FFFFFF"/>
        </w:rPr>
      </w:pPr>
      <w:r>
        <w:rPr>
          <w:rFonts w:ascii="Times New Roman" w:hAnsi="Times New Roman" w:cs="Times New Roman" w:hint="eastAsia"/>
          <w:sz w:val="24"/>
          <w:szCs w:val="24"/>
        </w:rPr>
        <w:t>2.1. Input</w:t>
      </w:r>
      <w:r>
        <w:rPr>
          <w:rFonts w:ascii="Times New Roman" w:hAnsi="Times New Roman" w:cs="Times New Roman"/>
          <w:sz w:val="24"/>
          <w:szCs w:val="24"/>
        </w:rPr>
        <w:t xml:space="preserve"> Data</w:t>
      </w:r>
    </w:p>
    <w:p w14:paraId="60A72956"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Annual catch </w:t>
      </w:r>
      <w:r>
        <w:rPr>
          <w:rFonts w:ascii="Times New Roman" w:hAnsi="Times New Roman" w:cs="Times New Roman" w:hint="eastAsia"/>
          <w:sz w:val="24"/>
        </w:rPr>
        <w:t xml:space="preserve">and </w:t>
      </w:r>
      <w:r>
        <w:rPr>
          <w:rFonts w:ascii="Times New Roman" w:hAnsi="Times New Roman" w:cs="Times New Roman"/>
          <w:sz w:val="24"/>
        </w:rPr>
        <w:t>fishing effort</w:t>
      </w:r>
      <w:r>
        <w:rPr>
          <w:rFonts w:ascii="Times New Roman" w:hAnsi="Times New Roman" w:cs="Times New Roman" w:hint="eastAsia"/>
          <w:sz w:val="24"/>
        </w:rPr>
        <w:t xml:space="preserve"> </w:t>
      </w:r>
      <w:r>
        <w:rPr>
          <w:rFonts w:ascii="Times New Roman" w:hAnsi="Times New Roman" w:cs="Times New Roman"/>
          <w:sz w:val="24"/>
        </w:rPr>
        <w:t>data of NFS were obtained from the official NPFC compilation “NPFC-2025-AR-Annual</w:t>
      </w:r>
      <w:r>
        <w:rPr>
          <w:rFonts w:ascii="Times New Roman" w:hAnsi="Times New Roman" w:cs="Times New Roman" w:hint="eastAsia"/>
          <w:sz w:val="24"/>
        </w:rPr>
        <w:t xml:space="preserve"> </w:t>
      </w:r>
      <w:r>
        <w:rPr>
          <w:rFonts w:ascii="Times New Roman" w:hAnsi="Times New Roman" w:cs="Times New Roman"/>
          <w:sz w:val="24"/>
        </w:rPr>
        <w:t>Summary Footprint-Squids”, aggregating reported catches from China, Japan, Korea, Russia, Chinese Taipei, and Vanuatu.</w:t>
      </w:r>
      <w:r>
        <w:rPr>
          <w:rFonts w:ascii="Times New Roman" w:hAnsi="Times New Roman" w:cs="Times New Roman" w:hint="eastAsia"/>
          <w:sz w:val="24"/>
        </w:rPr>
        <w:t xml:space="preserve"> </w:t>
      </w:r>
      <w:r>
        <w:rPr>
          <w:rStyle w:val="Strong"/>
          <w:rFonts w:ascii="Times New Roman" w:eastAsia="Segoe UI" w:hAnsi="Times New Roman" w:cs="Times New Roman"/>
          <w:b w:val="0"/>
          <w:color w:val="0F1115"/>
          <w:sz w:val="24"/>
          <w:shd w:val="clear" w:color="auto" w:fill="FFFFFF"/>
        </w:rPr>
        <w:t>This dataset represents the most comprehensive catch information available within the NPFC framework and is considered the best available data for total removals.</w:t>
      </w:r>
      <w:r>
        <w:rPr>
          <w:rFonts w:ascii="Times New Roman" w:hAnsi="Times New Roman" w:cs="Times New Roman"/>
          <w:sz w:val="24"/>
        </w:rPr>
        <w:t xml:space="preserve"> </w:t>
      </w:r>
      <w:r>
        <w:rPr>
          <w:rFonts w:ascii="Times New Roman" w:hAnsi="Times New Roman" w:cs="Times New Roman" w:hint="eastAsia"/>
          <w:sz w:val="24"/>
        </w:rPr>
        <w:t>(</w:t>
      </w:r>
      <w:r>
        <w:rPr>
          <w:rFonts w:ascii="Times New Roman" w:eastAsia="Segoe UI" w:hAnsi="Times New Roman" w:cs="Times New Roman"/>
          <w:color w:val="0F1115"/>
          <w:sz w:val="24"/>
          <w:shd w:val="clear" w:color="auto" w:fill="FFFFFF"/>
        </w:rPr>
        <w:t>Fig. 1</w:t>
      </w:r>
      <w:r>
        <w:rPr>
          <w:rFonts w:ascii="Times New Roman" w:hAnsi="Times New Roman" w:cs="Times New Roman" w:hint="eastAsia"/>
          <w:sz w:val="24"/>
        </w:rPr>
        <w:t xml:space="preserve">) </w:t>
      </w:r>
    </w:p>
    <w:p w14:paraId="60A72957" w14:textId="77777777" w:rsidR="00E86DF3" w:rsidRDefault="00982083">
      <w:pPr>
        <w:spacing w:line="276" w:lineRule="auto"/>
        <w:ind w:firstLineChars="200" w:firstLine="480"/>
        <w:rPr>
          <w:rFonts w:ascii="Times New Roman" w:eastAsia="SimSun" w:hAnsi="Times New Roman" w:cs="Times New Roman"/>
          <w:sz w:val="24"/>
        </w:rPr>
      </w:pPr>
      <w:r>
        <w:rPr>
          <w:rFonts w:ascii="Times New Roman" w:hAnsi="Times New Roman" w:cs="Times New Roman"/>
          <w:sz w:val="24"/>
        </w:rPr>
        <w:t>The time series covers 2005–2024 for the winter-spring cohort and stock-wide, and 2012–2024 for the autumn cohort, aligned with the availability of Chinese CPUE data.</w:t>
      </w:r>
      <w:r>
        <w:rPr>
          <w:rFonts w:ascii="Times New Roman" w:hAnsi="Times New Roman" w:cs="Times New Roman" w:hint="eastAsia"/>
          <w:sz w:val="24"/>
        </w:rPr>
        <w:t xml:space="preserve"> (</w:t>
      </w:r>
      <w:r>
        <w:rPr>
          <w:rFonts w:ascii="Times New Roman" w:eastAsia="Segoe UI" w:hAnsi="Times New Roman" w:cs="Times New Roman"/>
          <w:color w:val="0F1115"/>
          <w:sz w:val="24"/>
          <w:shd w:val="clear" w:color="auto" w:fill="FFFFFF"/>
        </w:rPr>
        <w:t xml:space="preserve">Fig. </w:t>
      </w:r>
      <w:r>
        <w:rPr>
          <w:rFonts w:ascii="Times New Roman" w:eastAsia="SimSun" w:hAnsi="Times New Roman" w:cs="Times New Roman" w:hint="eastAsia"/>
          <w:color w:val="0F1115"/>
          <w:sz w:val="24"/>
          <w:shd w:val="clear" w:color="auto" w:fill="FFFFFF"/>
        </w:rPr>
        <w:t>2)</w:t>
      </w:r>
    </w:p>
    <w:p w14:paraId="60A72958"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Abundance indices were derived from the Chinese squid-jigging fishery. The companion CPUE standardization study produced four indices: nominal CPUE and three standardized series (GAM, RF, and GBM). All four indices are presented in Fig. </w:t>
      </w:r>
      <w:r>
        <w:rPr>
          <w:rFonts w:ascii="Times New Roman" w:hAnsi="Times New Roman" w:cs="Times New Roman" w:hint="eastAsia"/>
          <w:sz w:val="24"/>
        </w:rPr>
        <w:t>3</w:t>
      </w:r>
      <w:r>
        <w:rPr>
          <w:rFonts w:ascii="Times New Roman" w:hAnsi="Times New Roman" w:cs="Times New Roman"/>
          <w:sz w:val="24"/>
        </w:rPr>
        <w:t xml:space="preserve"> for reference.</w:t>
      </w:r>
      <w:r>
        <w:rPr>
          <w:rFonts w:ascii="Times New Roman" w:hAnsi="Times New Roman" w:cs="Times New Roman" w:hint="eastAsia"/>
          <w:sz w:val="24"/>
        </w:rPr>
        <w:t xml:space="preserve"> </w:t>
      </w:r>
      <w:r>
        <w:rPr>
          <w:rFonts w:ascii="Times New Roman" w:hAnsi="Times New Roman" w:cs="Times New Roman"/>
          <w:sz w:val="24"/>
        </w:rPr>
        <w:t xml:space="preserve">For the present stock assessment, three indices were selected as JABBA inputs: nominal CPUE, GAM-standardized CPUE, and RF-standardized CPUE. The GBM-standardized CPUE was not used,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streamline the number of scenarios while maintaining a robust representation of uncertainty across different modeling frameworks. Input standard errors (SE) from the standardization procedure were used to quantify observation uncertainty; for nominal CPUE, a conservative CV of 0.2 was assumed.</w:t>
      </w:r>
    </w:p>
    <w:p w14:paraId="60A72959"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hint="eastAsia"/>
          <w:sz w:val="24"/>
          <w:szCs w:val="24"/>
        </w:rPr>
        <w:t>Stock assessment model</w:t>
      </w:r>
    </w:p>
    <w:p w14:paraId="60A7295A"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stock assessment was conducted using the state-space Bayesian surplus production model, Just Another Bayesian Biomass Assessment (Winker et al., 2018), which is based on the generalized Pella-Tomlinson surplus production model form </w:t>
      </w:r>
      <w:r>
        <w:rPr>
          <w:rFonts w:ascii="Times New Roman" w:hAnsi="Times New Roman" w:cs="Times New Roman"/>
          <w:sz w:val="24"/>
        </w:rPr>
        <w:lastRenderedPageBreak/>
        <w:t xml:space="preserve">(Pella </w:t>
      </w:r>
      <w:r>
        <w:rPr>
          <w:rFonts w:ascii="Times New Roman" w:hAnsi="Times New Roman" w:cs="Times New Roman" w:hint="eastAsia"/>
          <w:sz w:val="24"/>
        </w:rPr>
        <w:t>et al.</w:t>
      </w:r>
      <w:r>
        <w:rPr>
          <w:rFonts w:ascii="Times New Roman" w:hAnsi="Times New Roman" w:cs="Times New Roman"/>
          <w:sz w:val="24"/>
        </w:rPr>
        <w:t xml:space="preserve">, 1969). The model accounts for both process </w:t>
      </w:r>
      <w:proofErr w:type="gramStart"/>
      <w:r>
        <w:rPr>
          <w:rFonts w:ascii="Times New Roman" w:hAnsi="Times New Roman" w:cs="Times New Roman"/>
          <w:sz w:val="24"/>
        </w:rPr>
        <w:t>error</w:t>
      </w:r>
      <w:proofErr w:type="gramEnd"/>
      <w:r>
        <w:rPr>
          <w:rFonts w:ascii="Times New Roman" w:hAnsi="Times New Roman" w:cs="Times New Roman"/>
          <w:sz w:val="24"/>
        </w:rPr>
        <w:t xml:space="preserve"> in population dynamics and observation </w:t>
      </w:r>
      <w:proofErr w:type="gramStart"/>
      <w:r>
        <w:rPr>
          <w:rFonts w:ascii="Times New Roman" w:hAnsi="Times New Roman" w:cs="Times New Roman"/>
          <w:sz w:val="24"/>
        </w:rPr>
        <w:t>error</w:t>
      </w:r>
      <w:proofErr w:type="gramEnd"/>
      <w:r>
        <w:rPr>
          <w:rFonts w:ascii="Times New Roman" w:hAnsi="Times New Roman" w:cs="Times New Roman"/>
          <w:sz w:val="24"/>
        </w:rPr>
        <w:t xml:space="preserve"> in the abundance indices. In this study, the Schaefer form (shape parameter </w:t>
      </w:r>
      <w:r>
        <w:rPr>
          <w:rFonts w:ascii="Times New Roman" w:hAnsi="Times New Roman" w:cs="Times New Roman"/>
          <w:i/>
          <w:iCs/>
          <w:sz w:val="24"/>
        </w:rPr>
        <w:t>m</w:t>
      </w:r>
      <w:r>
        <w:rPr>
          <w:rFonts w:ascii="Times New Roman" w:hAnsi="Times New Roman" w:cs="Times New Roman"/>
          <w:sz w:val="24"/>
        </w:rPr>
        <w:t> = 2) of the production function was applied.</w:t>
      </w:r>
    </w:p>
    <w:p w14:paraId="60A7295B" w14:textId="77777777" w:rsidR="00E86DF3" w:rsidRDefault="00982083">
      <w:pPr>
        <w:pStyle w:val="ListParagraph"/>
        <w:spacing w:line="276" w:lineRule="auto"/>
        <w:ind w:left="369" w:firstLine="480"/>
        <w:jc w:val="center"/>
        <w:rPr>
          <w:rFonts w:ascii="Times New Roman" w:eastAsia="SimSun" w:hAnsi="Times New Roman" w:cs="Times New Roman"/>
          <w:sz w:val="24"/>
        </w:rPr>
      </w:pPr>
      <w:r>
        <w:rPr>
          <w:rFonts w:ascii="Times New Roman" w:eastAsia="SimSun" w:hAnsi="Times New Roman" w:cs="Times New Roman"/>
          <w:sz w:val="24"/>
        </w:rPr>
        <w:t>SP=</w:t>
      </w:r>
      <m:oMath>
        <m:f>
          <m:fPr>
            <m:ctrlPr>
              <w:rPr>
                <w:rFonts w:ascii="Cambria Math" w:eastAsia="SimSun" w:hAnsi="Cambria Math" w:cs="Times New Roman"/>
                <w:i/>
                <w:sz w:val="24"/>
              </w:rPr>
            </m:ctrlPr>
          </m:fPr>
          <m:num>
            <m:r>
              <w:rPr>
                <w:rFonts w:ascii="Cambria Math" w:eastAsia="SimSun" w:hAnsi="Cambria Math" w:cs="Times New Roman"/>
                <w:sz w:val="24"/>
              </w:rPr>
              <m:t>r</m:t>
            </m:r>
          </m:num>
          <m:den>
            <m:r>
              <w:rPr>
                <w:rFonts w:ascii="Cambria Math" w:eastAsia="SimSun" w:hAnsi="Cambria Math" w:cs="Times New Roman"/>
                <w:sz w:val="24"/>
              </w:rPr>
              <m:t>m</m:t>
            </m:r>
            <m:r>
              <w:rPr>
                <w:rFonts w:ascii="Cambria Math" w:eastAsia="SimSun" w:hAnsi="Cambria Math" w:cs="Times New Roman"/>
                <w:sz w:val="24"/>
              </w:rPr>
              <m:t>-</m:t>
            </m:r>
            <m:r>
              <w:rPr>
                <w:rFonts w:ascii="Cambria Math" w:eastAsia="SimSun" w:hAnsi="Cambria Math" w:cs="Times New Roman"/>
                <w:sz w:val="24"/>
              </w:rPr>
              <m:t>1</m:t>
            </m:r>
          </m:den>
        </m:f>
        <m:r>
          <w:rPr>
            <w:rFonts w:ascii="Cambria Math" w:eastAsia="SimSun" w:hAnsi="Cambria Math" w:cs="Times New Roman"/>
            <w:sz w:val="24"/>
          </w:rPr>
          <m:t>B</m:t>
        </m:r>
        <m:d>
          <m:dPr>
            <m:begChr m:val="["/>
            <m:endChr m:val="]"/>
            <m:ctrlPr>
              <w:rPr>
                <w:rFonts w:ascii="Cambria Math" w:eastAsia="SimSun" w:hAnsi="Cambria Math" w:cs="Times New Roman"/>
                <w:i/>
                <w:sz w:val="24"/>
              </w:rPr>
            </m:ctrlPr>
          </m:dPr>
          <m:e>
            <m:r>
              <w:rPr>
                <w:rFonts w:ascii="Cambria Math" w:eastAsia="SimSun" w:hAnsi="Cambria Math" w:cs="Times New Roman"/>
                <w:sz w:val="24"/>
              </w:rPr>
              <m:t>1-</m:t>
            </m:r>
            <m:sSup>
              <m:sSupPr>
                <m:ctrlPr>
                  <w:rPr>
                    <w:rFonts w:ascii="Cambria Math" w:eastAsia="SimSun" w:hAnsi="Cambria Math" w:cs="Times New Roman"/>
                    <w:i/>
                    <w:sz w:val="24"/>
                  </w:rPr>
                </m:ctrlPr>
              </m:sSupPr>
              <m:e>
                <m:d>
                  <m:dPr>
                    <m:ctrlPr>
                      <w:rPr>
                        <w:rFonts w:ascii="Cambria Math" w:eastAsia="SimSun" w:hAnsi="Cambria Math" w:cs="Times New Roman"/>
                        <w:i/>
                        <w:sz w:val="24"/>
                      </w:rPr>
                    </m:ctrlPr>
                  </m:dPr>
                  <m:e>
                    <m:f>
                      <m:fPr>
                        <m:ctrlPr>
                          <w:rPr>
                            <w:rFonts w:ascii="Cambria Math" w:eastAsia="SimSun" w:hAnsi="Cambria Math" w:cs="Times New Roman"/>
                            <w:i/>
                            <w:sz w:val="24"/>
                          </w:rPr>
                        </m:ctrlPr>
                      </m:fPr>
                      <m:num>
                        <m:r>
                          <w:rPr>
                            <w:rFonts w:ascii="Cambria Math" w:eastAsia="SimSun" w:hAnsi="Cambria Math" w:cs="Times New Roman"/>
                            <w:sz w:val="24"/>
                          </w:rPr>
                          <m:t>B</m:t>
                        </m:r>
                      </m:num>
                      <m:den>
                        <m:r>
                          <w:rPr>
                            <w:rFonts w:ascii="Cambria Math" w:eastAsia="SimSun" w:hAnsi="Cambria Math" w:cs="Times New Roman"/>
                            <w:sz w:val="24"/>
                          </w:rPr>
                          <m:t>K</m:t>
                        </m:r>
                      </m:den>
                    </m:f>
                  </m:e>
                </m:d>
              </m:e>
              <m:sup>
                <m:r>
                  <w:rPr>
                    <w:rFonts w:ascii="Cambria Math" w:eastAsia="SimSun" w:hAnsi="Cambria Math" w:cs="Times New Roman"/>
                    <w:sz w:val="24"/>
                  </w:rPr>
                  <m:t>m</m:t>
                </m:r>
                <m:r>
                  <w:rPr>
                    <w:rFonts w:ascii="Cambria Math" w:eastAsia="SimSun" w:hAnsi="Cambria Math" w:cs="Times New Roman"/>
                    <w:sz w:val="24"/>
                  </w:rPr>
                  <m:t>-</m:t>
                </m:r>
                <m:r>
                  <w:rPr>
                    <w:rFonts w:ascii="Cambria Math" w:eastAsia="SimSun" w:hAnsi="Cambria Math" w:cs="Times New Roman"/>
                    <w:sz w:val="24"/>
                  </w:rPr>
                  <m:t>1</m:t>
                </m:r>
              </m:sup>
            </m:sSup>
          </m:e>
        </m:d>
      </m:oMath>
      <w:r>
        <w:rPr>
          <w:rFonts w:ascii="Times New Roman" w:eastAsia="SimSun" w:hAnsi="Times New Roman" w:cs="Times New Roman"/>
          <w:sz w:val="24"/>
        </w:rPr>
        <w:t xml:space="preserve">     </w:t>
      </w:r>
      <w:proofErr w:type="gramStart"/>
      <w:r>
        <w:rPr>
          <w:rFonts w:ascii="Times New Roman" w:eastAsia="SimSun" w:hAnsi="Times New Roman" w:cs="Times New Roman"/>
          <w:sz w:val="24"/>
        </w:rPr>
        <w:t xml:space="preserve">   (</w:t>
      </w:r>
      <w:proofErr w:type="gramEnd"/>
      <w:r>
        <w:rPr>
          <w:rFonts w:ascii="Times New Roman" w:eastAsia="SimSun" w:hAnsi="Times New Roman" w:cs="Times New Roman" w:hint="eastAsia"/>
          <w:sz w:val="24"/>
        </w:rPr>
        <w:t>1</w:t>
      </w:r>
      <w:r>
        <w:rPr>
          <w:rFonts w:ascii="Times New Roman" w:eastAsia="SimSun" w:hAnsi="Times New Roman" w:cs="Times New Roman"/>
          <w:sz w:val="24"/>
        </w:rPr>
        <w:t>)</w:t>
      </w:r>
    </w:p>
    <w:p w14:paraId="60A7295C" w14:textId="77777777" w:rsidR="00E86DF3" w:rsidRDefault="00982083">
      <w:pPr>
        <w:pStyle w:val="ListParagraph"/>
        <w:spacing w:line="276" w:lineRule="auto"/>
        <w:ind w:firstLine="480"/>
        <w:rPr>
          <w:rFonts w:ascii="Times New Roman" w:eastAsia="SimSun" w:hAnsi="Times New Roman" w:cs="Times New Roman"/>
          <w:sz w:val="24"/>
        </w:rPr>
      </w:pPr>
      <w:r>
        <w:rPr>
          <w:rFonts w:ascii="Times New Roman" w:eastAsia="SimSun" w:hAnsi="Times New Roman" w:cs="Times New Roman" w:hint="eastAsia"/>
          <w:sz w:val="24"/>
        </w:rPr>
        <w:t xml:space="preserve">where </w:t>
      </w:r>
      <w:r>
        <w:rPr>
          <w:rFonts w:ascii="Times New Roman" w:eastAsia="SimSun" w:hAnsi="Times New Roman" w:cs="Times New Roman" w:hint="eastAsia"/>
          <w:i/>
          <w:iCs/>
          <w:sz w:val="24"/>
        </w:rPr>
        <w:t>SP</w:t>
      </w:r>
      <w:r>
        <w:rPr>
          <w:rFonts w:ascii="Times New Roman" w:eastAsia="SimSun" w:hAnsi="Times New Roman" w:cs="Times New Roman" w:hint="eastAsia"/>
          <w:sz w:val="24"/>
        </w:rPr>
        <w:t xml:space="preserve"> is the surplus production, </w:t>
      </w:r>
      <w:r>
        <w:rPr>
          <w:rFonts w:ascii="Times New Roman" w:eastAsia="SimSun" w:hAnsi="Times New Roman" w:cs="Times New Roman" w:hint="eastAsia"/>
          <w:i/>
          <w:iCs/>
          <w:sz w:val="24"/>
        </w:rPr>
        <w:t>B</w:t>
      </w:r>
      <w:r>
        <w:rPr>
          <w:rFonts w:ascii="Times New Roman" w:eastAsia="SimSun" w:hAnsi="Times New Roman" w:cs="Times New Roman" w:hint="eastAsia"/>
          <w:sz w:val="24"/>
        </w:rPr>
        <w:t xml:space="preserve"> is the exploitable biomass, </w:t>
      </w:r>
      <w:r>
        <w:rPr>
          <w:rFonts w:ascii="Times New Roman" w:eastAsia="SimSun" w:hAnsi="Times New Roman" w:cs="Times New Roman" w:hint="eastAsia"/>
          <w:i/>
          <w:iCs/>
          <w:sz w:val="24"/>
        </w:rPr>
        <w:t>r</w:t>
      </w:r>
      <w:r>
        <w:rPr>
          <w:rFonts w:ascii="Times New Roman" w:eastAsia="SimSun" w:hAnsi="Times New Roman" w:cs="Times New Roman" w:hint="eastAsia"/>
          <w:sz w:val="24"/>
        </w:rPr>
        <w:t xml:space="preserve"> is the intrinsic rate of growth and </w:t>
      </w:r>
      <w:r>
        <w:rPr>
          <w:rFonts w:ascii="Times New Roman" w:eastAsia="SimSun" w:hAnsi="Times New Roman" w:cs="Times New Roman" w:hint="eastAsia"/>
          <w:i/>
          <w:iCs/>
          <w:sz w:val="24"/>
        </w:rPr>
        <w:t>K</w:t>
      </w:r>
      <w:r>
        <w:rPr>
          <w:rFonts w:ascii="Times New Roman" w:eastAsia="SimSun" w:hAnsi="Times New Roman" w:cs="Times New Roman" w:hint="eastAsia"/>
          <w:sz w:val="24"/>
        </w:rPr>
        <w:t xml:space="preserve"> is the carrying capacity. This form assumes a symmetric production curve where the biomass at maximum sustainable yield (MSY) is </w:t>
      </w:r>
      <w:r>
        <w:rPr>
          <w:rFonts w:ascii="Times New Roman" w:eastAsia="SimSun" w:hAnsi="Times New Roman" w:cs="Times New Roman" w:hint="eastAsia"/>
          <w:i/>
          <w:iCs/>
          <w:sz w:val="24"/>
        </w:rPr>
        <w:t>B</w:t>
      </w:r>
      <w:r>
        <w:rPr>
          <w:rFonts w:ascii="Times New Roman" w:eastAsia="SimSun" w:hAnsi="Times New Roman" w:cs="Times New Roman" w:hint="eastAsia"/>
          <w:i/>
          <w:iCs/>
          <w:sz w:val="24"/>
          <w:vertAlign w:val="subscript"/>
        </w:rPr>
        <w:t>MSY</w:t>
      </w:r>
      <w:r>
        <w:rPr>
          <w:rFonts w:ascii="Times New Roman" w:eastAsia="SimSun" w:hAnsi="Times New Roman" w:cs="Times New Roman" w:hint="eastAsia"/>
          <w:i/>
          <w:iCs/>
          <w:sz w:val="24"/>
        </w:rPr>
        <w:t>=K/2</w:t>
      </w:r>
      <w:r>
        <w:rPr>
          <w:rFonts w:ascii="Times New Roman" w:eastAsia="SimSun" w:hAnsi="Times New Roman" w:cs="Times New Roman" w:hint="eastAsia"/>
          <w:sz w:val="24"/>
        </w:rPr>
        <w:t xml:space="preserve">. The Schaefer model is widely applied in cephalopod stock assessments and </w:t>
      </w:r>
      <w:r>
        <w:rPr>
          <w:rFonts w:ascii="Times New Roman" w:eastAsia="SimSun" w:hAnsi="Times New Roman" w:cs="Times New Roman"/>
          <w:sz w:val="24"/>
        </w:rPr>
        <w:t xml:space="preserve">provides a parsimonious and stable model for data-limited situations (Wang et al., </w:t>
      </w:r>
      <w:r>
        <w:rPr>
          <w:rFonts w:ascii="Times New Roman" w:hAnsi="Times New Roman" w:cs="Times New Roman"/>
          <w:sz w:val="24"/>
        </w:rPr>
        <w:t>2016).</w:t>
      </w:r>
    </w:p>
    <w:p w14:paraId="60A7295D"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observation equation was: </w:t>
      </w:r>
    </w:p>
    <w:p w14:paraId="60A7295E" w14:textId="77777777" w:rsidR="00E86DF3" w:rsidRDefault="00982083">
      <w:pPr>
        <w:spacing w:line="276" w:lineRule="auto"/>
        <w:ind w:firstLine="1134"/>
        <w:jc w:val="center"/>
        <w:rPr>
          <w:rFonts w:ascii="Times New Roman" w:eastAsia="Segoe UI" w:hAnsi="Times New Roman" w:cs="Times New Roman"/>
          <w:sz w:val="24"/>
          <w:shd w:val="clear" w:color="auto" w:fill="FFFFFF"/>
        </w:rPr>
      </w:pPr>
      <m:oMath>
        <m:sSub>
          <m:sSubPr>
            <m:ctrlPr>
              <w:rPr>
                <w:rFonts w:ascii="Cambria Math" w:eastAsia="SimSun" w:hAnsi="Cambria Math" w:cs="Times New Roman"/>
                <w:i/>
                <w:sz w:val="24"/>
              </w:rPr>
            </m:ctrlPr>
          </m:sSubPr>
          <m:e>
            <m:r>
              <m:rPr>
                <m:nor/>
              </m:rPr>
              <w:rPr>
                <w:rFonts w:ascii="Times New Roman" w:eastAsia="SimSun" w:hAnsi="Times New Roman" w:cs="Times New Roman"/>
                <w:i/>
                <w:sz w:val="24"/>
              </w:rPr>
              <m:t>I</m:t>
            </m:r>
          </m:e>
          <m:sub>
            <w:proofErr w:type="spellStart"/>
            <m:r>
              <m:rPr>
                <m:nor/>
              </m:rPr>
              <w:rPr>
                <w:rFonts w:ascii="Times New Roman" w:eastAsia="SimSun" w:hAnsi="Times New Roman" w:cs="Times New Roman"/>
                <w:i/>
                <w:sz w:val="24"/>
              </w:rPr>
              <m:t>i</m:t>
            </m:r>
            <w:proofErr w:type="spellEnd"/>
            <m:r>
              <m:rPr>
                <m:nor/>
              </m:rPr>
              <w:rPr>
                <w:rFonts w:ascii="Times New Roman" w:eastAsia="SimSun" w:hAnsi="Times New Roman" w:cs="Times New Roman"/>
                <w:sz w:val="24"/>
              </w:rPr>
              <m:t>，</m:t>
            </m:r>
            <m:r>
              <m:rPr>
                <m:nor/>
              </m:rPr>
              <w:rPr>
                <w:rFonts w:ascii="Times New Roman" w:eastAsia="SimSun" w:hAnsi="Times New Roman" w:cs="Times New Roman"/>
                <w:i/>
                <w:sz w:val="24"/>
              </w:rPr>
              <m:t>y</m:t>
            </m:r>
          </m:sub>
        </m:sSub>
      </m:oMath>
      <w:r>
        <w:rPr>
          <w:rFonts w:ascii="Times New Roman" w:eastAsia="SimSun" w:hAnsi="Times New Roman" w:cs="Times New Roman"/>
          <w:sz w:val="24"/>
        </w:rPr>
        <w:t>=</w:t>
      </w:r>
      <m:oMath>
        <m:sSub>
          <m:sSubPr>
            <m:ctrlPr>
              <w:rPr>
                <w:rFonts w:ascii="Cambria Math" w:eastAsia="SimSun" w:hAnsi="Cambria Math" w:cs="Times New Roman"/>
                <w:i/>
                <w:sz w:val="24"/>
              </w:rPr>
            </m:ctrlPr>
          </m:sSubPr>
          <m:e>
            <m:r>
              <m:rPr>
                <m:nor/>
              </m:rPr>
              <w:rPr>
                <w:rFonts w:ascii="Times New Roman" w:eastAsia="SimSun" w:hAnsi="Times New Roman" w:cs="Times New Roman"/>
                <w:i/>
                <w:sz w:val="24"/>
              </w:rPr>
              <m:t>q</m:t>
            </m:r>
          </m:e>
          <m:sub>
            <w:proofErr w:type="spellStart"/>
            <m:r>
              <m:rPr>
                <m:nor/>
              </m:rPr>
              <w:rPr>
                <w:rFonts w:ascii="Times New Roman" w:eastAsia="SimSun" w:hAnsi="Times New Roman" w:cs="Times New Roman"/>
                <w:i/>
                <w:sz w:val="24"/>
              </w:rPr>
              <m:t>i</m:t>
            </m:r>
            <w:proofErr w:type="spellEnd"/>
          </m:sub>
        </m:sSub>
        <m:sSub>
          <m:sSubPr>
            <m:ctrlPr>
              <w:rPr>
                <w:rFonts w:ascii="Cambria Math" w:eastAsia="SimSun" w:hAnsi="Cambria Math" w:cs="Times New Roman"/>
                <w:i/>
                <w:sz w:val="24"/>
              </w:rPr>
            </m:ctrlPr>
          </m:sSubPr>
          <m:e>
            <m:r>
              <m:rPr>
                <m:nor/>
              </m:rPr>
              <w:rPr>
                <w:rFonts w:ascii="Times New Roman" w:eastAsia="SimSun" w:hAnsi="Times New Roman" w:cs="Times New Roman"/>
                <w:i/>
                <w:sz w:val="24"/>
              </w:rPr>
              <m:t>B</m:t>
            </m:r>
          </m:e>
          <m:sub>
            <w:proofErr w:type="spellStart"/>
            <m:r>
              <m:rPr>
                <m:nor/>
              </m:rPr>
              <w:rPr>
                <w:rFonts w:ascii="Times New Roman" w:eastAsia="SimSun" w:hAnsi="Times New Roman" w:cs="Times New Roman"/>
                <w:i/>
                <w:sz w:val="24"/>
              </w:rPr>
              <m:t>i</m:t>
            </m:r>
            <w:proofErr w:type="spellEnd"/>
          </m:sub>
        </m:sSub>
        <m:sSup>
          <m:sSupPr>
            <m:ctrlPr>
              <w:rPr>
                <w:rFonts w:ascii="Cambria Math" w:eastAsia="SimSun" w:hAnsi="Cambria Math" w:cs="Times New Roman"/>
                <w:i/>
                <w:sz w:val="24"/>
              </w:rPr>
            </m:ctrlPr>
          </m:sSupPr>
          <m:e>
            <m:r>
              <m:rPr>
                <m:nor/>
              </m:rPr>
              <w:rPr>
                <w:rFonts w:ascii="Times New Roman" w:eastAsia="SimSun" w:hAnsi="Times New Roman" w:cs="Times New Roman"/>
                <w:i/>
                <w:sz w:val="24"/>
              </w:rPr>
              <m:t>e</m:t>
            </m:r>
          </m:e>
          <m:sup>
            <m:sSub>
              <m:sSubPr>
                <m:ctrlPr>
                  <w:rPr>
                    <w:rFonts w:ascii="Cambria Math" w:eastAsia="SimSun" w:hAnsi="Cambria Math" w:cs="Times New Roman"/>
                    <w:i/>
                    <w:sz w:val="24"/>
                  </w:rPr>
                </m:ctrlPr>
              </m:sSubPr>
              <m:e>
                <m:r>
                  <m:rPr>
                    <m:nor/>
                  </m:rPr>
                  <w:rPr>
                    <w:rFonts w:ascii="Times New Roman" w:eastAsia="SimSun" w:hAnsi="Times New Roman" w:cs="Times New Roman"/>
                    <w:i/>
                    <w:sz w:val="24"/>
                  </w:rPr>
                  <m:t>ε</m:t>
                </m:r>
              </m:e>
              <m:sub>
                <w:proofErr w:type="spellStart"/>
                <w:proofErr w:type="gramStart"/>
                <m:r>
                  <m:rPr>
                    <m:nor/>
                  </m:rPr>
                  <w:rPr>
                    <w:rFonts w:ascii="Times New Roman" w:eastAsia="SimSun" w:hAnsi="Times New Roman" w:cs="Times New Roman"/>
                    <w:i/>
                    <w:sz w:val="24"/>
                  </w:rPr>
                  <m:t>y</m:t>
                </m:r>
                <m:r>
                  <m:rPr>
                    <m:nor/>
                  </m:rPr>
                  <w:rPr>
                    <w:rFonts w:ascii="Times New Roman" w:eastAsia="SimSun" w:hAnsi="Times New Roman" w:cs="Times New Roman"/>
                    <w:sz w:val="24"/>
                  </w:rPr>
                  <m:t>,</m:t>
                </m:r>
                <m:r>
                  <m:rPr>
                    <m:nor/>
                  </m:rPr>
                  <w:rPr>
                    <w:rFonts w:ascii="Times New Roman" w:eastAsia="SimSun" w:hAnsi="Times New Roman" w:cs="Times New Roman"/>
                    <w:i/>
                    <w:sz w:val="24"/>
                  </w:rPr>
                  <m:t>i</m:t>
                </m:r>
                <w:proofErr w:type="spellEnd"/>
                <w:proofErr w:type="gramEnd"/>
              </m:sub>
            </m:sSub>
          </m:sup>
        </m:sSup>
      </m:oMath>
      <w:r>
        <w:rPr>
          <w:rFonts w:ascii="Times New Roman" w:eastAsia="SimSun" w:hAnsi="Times New Roman" w:cs="Times New Roman"/>
          <w:sz w:val="24"/>
        </w:rPr>
        <w:t xml:space="preserve"> </w:t>
      </w:r>
      <w:r>
        <w:rPr>
          <w:rFonts w:ascii="Times New Roman" w:eastAsia="SimSun" w:hAnsi="Times New Roman" w:cs="Times New Roman"/>
        </w:rPr>
        <w:t xml:space="preserve">   </w:t>
      </w:r>
      <w:proofErr w:type="gramStart"/>
      <w:r>
        <w:rPr>
          <w:rFonts w:ascii="Times New Roman" w:eastAsia="SimSun" w:hAnsi="Times New Roman" w:cs="Times New Roman"/>
        </w:rPr>
        <w:t xml:space="preserve">   </w:t>
      </w:r>
      <w:r>
        <w:rPr>
          <w:rFonts w:ascii="Times New Roman" w:eastAsia="SimSun" w:hAnsi="Times New Roman" w:cs="Times New Roman"/>
          <w:sz w:val="24"/>
        </w:rPr>
        <w:t>(</w:t>
      </w:r>
      <w:proofErr w:type="gramEnd"/>
      <w:r>
        <w:rPr>
          <w:rFonts w:ascii="Times New Roman" w:eastAsia="SimSun" w:hAnsi="Times New Roman" w:cs="Times New Roman" w:hint="eastAsia"/>
          <w:sz w:val="24"/>
        </w:rPr>
        <w:t>2</w:t>
      </w:r>
      <w:r>
        <w:rPr>
          <w:rFonts w:ascii="Times New Roman" w:eastAsia="SimSun" w:hAnsi="Times New Roman" w:cs="Times New Roman"/>
          <w:sz w:val="24"/>
        </w:rPr>
        <w:t>)</w:t>
      </w:r>
    </w:p>
    <w:p w14:paraId="60A7295F" w14:textId="77777777" w:rsidR="00E86DF3" w:rsidRDefault="00982083">
      <w:pPr>
        <w:spacing w:line="276" w:lineRule="auto"/>
        <w:ind w:firstLineChars="200" w:firstLine="480"/>
        <w:rPr>
          <w:rFonts w:ascii="Times New Roman" w:eastAsia="SimSun" w:hAnsi="Times New Roman" w:cs="Times New Roman"/>
          <w:sz w:val="24"/>
          <w:shd w:val="clear" w:color="auto" w:fill="FFFFFF"/>
        </w:rPr>
      </w:pPr>
      <w:r>
        <w:rPr>
          <w:rFonts w:ascii="Times New Roman" w:hAnsi="Times New Roman" w:cs="Times New Roman"/>
          <w:sz w:val="24"/>
        </w:rPr>
        <w:t>where </w:t>
      </w:r>
      <w:proofErr w:type="spellStart"/>
      <w:proofErr w:type="gramStart"/>
      <w:r>
        <w:rPr>
          <w:rFonts w:ascii="Times New Roman" w:hAnsi="Times New Roman" w:cs="Times New Roman" w:hint="eastAsia"/>
          <w:i/>
          <w:iCs/>
          <w:sz w:val="24"/>
        </w:rPr>
        <w:t>I</w:t>
      </w:r>
      <w:r>
        <w:rPr>
          <w:rFonts w:ascii="Times New Roman" w:hAnsi="Times New Roman" w:cs="Times New Roman" w:hint="eastAsia"/>
          <w:i/>
          <w:iCs/>
          <w:sz w:val="24"/>
          <w:vertAlign w:val="subscript"/>
        </w:rPr>
        <w:t>i,y</w:t>
      </w:r>
      <w:proofErr w:type="spellEnd"/>
      <w:proofErr w:type="gramEnd"/>
      <w:r>
        <w:rPr>
          <w:rFonts w:ascii="Times New Roman" w:hAnsi="Times New Roman" w:cs="Times New Roman"/>
          <w:sz w:val="24"/>
        </w:rPr>
        <w:t> is the abundance index from series </w:t>
      </w:r>
      <w:proofErr w:type="spellStart"/>
      <w:r>
        <w:rPr>
          <w:rFonts w:ascii="Times New Roman" w:hAnsi="Times New Roman" w:cs="Times New Roman"/>
          <w:i/>
          <w:iCs/>
          <w:sz w:val="24"/>
        </w:rPr>
        <w:t>i</w:t>
      </w:r>
      <w:proofErr w:type="spellEnd"/>
      <w:r>
        <w:rPr>
          <w:rFonts w:ascii="Times New Roman" w:hAnsi="Times New Roman" w:cs="Times New Roman"/>
          <w:sz w:val="24"/>
        </w:rPr>
        <w:t> in year </w:t>
      </w:r>
      <w:r>
        <w:rPr>
          <w:rFonts w:ascii="Times New Roman" w:hAnsi="Times New Roman" w:cs="Times New Roman"/>
          <w:i/>
          <w:iCs/>
          <w:sz w:val="24"/>
        </w:rPr>
        <w:t>y</w:t>
      </w:r>
      <w:r>
        <w:rPr>
          <w:rFonts w:ascii="Times New Roman" w:hAnsi="Times New Roman" w:cs="Times New Roman"/>
          <w:sz w:val="24"/>
        </w:rPr>
        <w:t>, </w:t>
      </w:r>
      <w:r>
        <w:rPr>
          <w:rFonts w:ascii="Times New Roman" w:hAnsi="Times New Roman" w:cs="Times New Roman"/>
          <w:i/>
          <w:iCs/>
          <w:sz w:val="24"/>
        </w:rPr>
        <w:t>q</w:t>
      </w:r>
      <w:r>
        <w:rPr>
          <w:rFonts w:ascii="Times New Roman" w:hAnsi="Times New Roman" w:cs="Times New Roman"/>
          <w:i/>
          <w:iCs/>
          <w:sz w:val="24"/>
          <w:vertAlign w:val="subscript"/>
        </w:rPr>
        <w:t>i</w:t>
      </w:r>
      <w:r>
        <w:rPr>
          <w:rFonts w:ascii="Times New Roman" w:hAnsi="Times New Roman" w:cs="Times New Roman" w:hint="eastAsia"/>
          <w:i/>
          <w:iCs/>
          <w:sz w:val="24"/>
        </w:rPr>
        <w:t xml:space="preserve"> </w:t>
      </w:r>
      <w:r>
        <w:rPr>
          <w:rFonts w:ascii="Times New Roman" w:hAnsi="Times New Roman" w:cs="Times New Roman"/>
          <w:sz w:val="24"/>
        </w:rPr>
        <w:t>is the catchability coefficient for that series, and </w:t>
      </w:r>
      <w:proofErr w:type="spellStart"/>
      <w:r>
        <w:rPr>
          <w:rFonts w:ascii="Times New Roman" w:hAnsi="Times New Roman" w:cs="Times New Roman"/>
          <w:i/>
          <w:iCs/>
          <w:sz w:val="24"/>
        </w:rPr>
        <w:t>ε</w:t>
      </w:r>
      <w:proofErr w:type="gramStart"/>
      <w:r>
        <w:rPr>
          <w:rFonts w:ascii="Times New Roman" w:hAnsi="Times New Roman" w:cs="Times New Roman"/>
          <w:i/>
          <w:iCs/>
          <w:sz w:val="24"/>
          <w:vertAlign w:val="subscript"/>
        </w:rPr>
        <w:t>y,i</w:t>
      </w:r>
      <w:proofErr w:type="spellEnd"/>
      <w:proofErr w:type="gramEnd"/>
      <w:r>
        <w:rPr>
          <w:rFonts w:ascii="Times New Roman" w:hAnsi="Times New Roman" w:cs="Times New Roman" w:hint="eastAsia"/>
          <w:i/>
          <w:iCs/>
          <w:sz w:val="24"/>
          <w:vertAlign w:val="subscript"/>
        </w:rPr>
        <w:t xml:space="preserve"> </w:t>
      </w:r>
      <w:r>
        <w:rPr>
          <w:rFonts w:ascii="Times New Roman" w:hAnsi="Times New Roman" w:cs="Times New Roman"/>
          <w:sz w:val="24"/>
        </w:rPr>
        <w:t>is the observation error</w:t>
      </w:r>
      <w:r>
        <w:rPr>
          <w:rFonts w:ascii="Times New Roman" w:hAnsi="Times New Roman" w:cs="Times New Roman" w:hint="eastAsia"/>
          <w:sz w:val="24"/>
        </w:rPr>
        <w:t xml:space="preserve">, </w:t>
      </w:r>
      <w:r>
        <w:rPr>
          <w:rFonts w:ascii="Times New Roman" w:eastAsia="Segoe UI" w:hAnsi="Times New Roman" w:cs="Times New Roman"/>
          <w:sz w:val="24"/>
          <w:shd w:val="clear" w:color="auto" w:fill="FFFFFF"/>
        </w:rPr>
        <w:t xml:space="preserve">assumed to follow a normal distribution: </w:t>
      </w:r>
      <m:oMath>
        <m:sSub>
          <m:sSubPr>
            <m:ctrlPr>
              <w:rPr>
                <w:rFonts w:ascii="Cambria Math" w:eastAsia="SimSun" w:hAnsi="Cambria Math" w:cs="Times New Roman"/>
                <w:i/>
                <w:sz w:val="24"/>
              </w:rPr>
            </m:ctrlPr>
          </m:sSubPr>
          <m:e>
            <m:r>
              <m:rPr>
                <m:nor/>
              </m:rPr>
              <w:rPr>
                <w:rFonts w:ascii="Times New Roman" w:eastAsia="SimSun" w:hAnsi="Times New Roman" w:cs="Times New Roman"/>
                <w:i/>
                <w:sz w:val="24"/>
              </w:rPr>
              <m:t>ε</m:t>
            </m:r>
          </m:e>
          <m:sub>
            <w:proofErr w:type="spellStart"/>
            <w:proofErr w:type="gramStart"/>
            <m:r>
              <m:rPr>
                <m:nor/>
              </m:rPr>
              <w:rPr>
                <w:rFonts w:ascii="Times New Roman" w:eastAsia="SimSun" w:hAnsi="Times New Roman" w:cs="Times New Roman"/>
                <w:i/>
                <w:sz w:val="24"/>
              </w:rPr>
              <m:t>y,i</m:t>
            </m:r>
            <w:proofErr w:type="spellEnd"/>
            <w:proofErr w:type="gramEnd"/>
          </m:sub>
        </m:sSub>
        <m:r>
          <m:rPr>
            <m:nor/>
          </m:rPr>
          <w:rPr>
            <w:rFonts w:ascii="Times New Roman" w:eastAsia="SimSun" w:hAnsi="Times New Roman" w:cs="Times New Roman"/>
            <w:i/>
            <w:sz w:val="24"/>
          </w:rPr>
          <m:t>~</m:t>
        </m:r>
        <w:proofErr w:type="gramStart"/>
        <m:r>
          <m:rPr>
            <m:nor/>
          </m:rPr>
          <w:rPr>
            <w:rFonts w:ascii="Times New Roman" w:eastAsia="SimSun" w:hAnsi="Times New Roman" w:cs="Times New Roman"/>
            <w:i/>
            <w:sz w:val="24"/>
          </w:rPr>
          <m:t>N(</m:t>
        </m:r>
        <w:proofErr w:type="gramEnd"/>
        <m:r>
          <m:rPr>
            <m:nor/>
          </m:rPr>
          <w:rPr>
            <w:rFonts w:ascii="Times New Roman" w:eastAsia="SimSun" w:hAnsi="Times New Roman" w:cs="Times New Roman"/>
            <w:i/>
            <w:sz w:val="24"/>
          </w:rPr>
          <m:t xml:space="preserve">0, </m:t>
        </m:r>
        <m:sSubSup>
          <m:sSubSupPr>
            <m:ctrlPr>
              <w:rPr>
                <w:rFonts w:ascii="Cambria Math" w:eastAsia="SimSun" w:hAnsi="Cambria Math" w:cs="Times New Roman"/>
                <w:i/>
                <w:sz w:val="24"/>
              </w:rPr>
            </m:ctrlPr>
          </m:sSubSupPr>
          <m:e>
            <m:r>
              <m:rPr>
                <m:nor/>
              </m:rPr>
              <w:rPr>
                <w:rFonts w:ascii="Times New Roman" w:eastAsia="SimSun" w:hAnsi="Times New Roman" w:cs="Times New Roman"/>
                <w:i/>
                <w:sz w:val="24"/>
              </w:rPr>
              <m:t>σ</m:t>
            </m:r>
          </m:e>
          <m:sub>
            <w:proofErr w:type="spellStart"/>
            <w:proofErr w:type="gramStart"/>
            <m:r>
              <m:rPr>
                <m:nor/>
              </m:rPr>
              <w:rPr>
                <w:rFonts w:ascii="Times New Roman" w:eastAsia="SimSun" w:hAnsi="Times New Roman" w:cs="Times New Roman"/>
                <w:i/>
                <w:sz w:val="24"/>
              </w:rPr>
              <m:t>ε,t</m:t>
            </m:r>
            <w:proofErr w:type="gramEnd"/>
            <m:r>
              <m:rPr>
                <m:nor/>
              </m:rPr>
              <w:rPr>
                <w:rFonts w:ascii="Times New Roman" w:eastAsia="SimSun" w:hAnsi="Times New Roman" w:cs="Times New Roman"/>
                <w:i/>
                <w:sz w:val="24"/>
              </w:rPr>
              <m:t>,i</m:t>
            </m:r>
            <w:proofErr w:type="spellEnd"/>
          </m:sub>
          <m:sup>
            <m:r>
              <m:rPr>
                <m:nor/>
              </m:rPr>
              <w:rPr>
                <w:rFonts w:ascii="Times New Roman" w:eastAsia="SimSun" w:hAnsi="Times New Roman" w:cs="Times New Roman"/>
                <w:i/>
                <w:sz w:val="24"/>
              </w:rPr>
              <m:t>2</m:t>
            </m:r>
          </m:sup>
        </m:sSubSup>
        <m:r>
          <m:rPr>
            <m:nor/>
          </m:rPr>
          <w:rPr>
            <w:rFonts w:ascii="Times New Roman" w:eastAsia="SimSun" w:hAnsi="Times New Roman" w:cs="Times New Roman"/>
            <w:i/>
            <w:sz w:val="24"/>
          </w:rPr>
          <m:t>)</m:t>
        </m:r>
      </m:oMath>
      <w:r>
        <w:rPr>
          <w:rFonts w:ascii="Times New Roman" w:eastAsia="SimSun" w:hAnsi="Times New Roman" w:cs="Times New Roman"/>
          <w:sz w:val="24"/>
        </w:rPr>
        <w:t>.</w:t>
      </w:r>
    </w:p>
    <w:p w14:paraId="60A72960"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A total of nine scenarios were defined: three stock units (winter-spring, autumn, stock-wide) × three abundance indices (nominal, GAM, RF).</w:t>
      </w:r>
    </w:p>
    <w:p w14:paraId="60A72961"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hAnsi="Times New Roman" w:cs="Times New Roman"/>
          <w:sz w:val="24"/>
        </w:rPr>
        <w:t>The scenario based on the RF-standardized CPUE for the stock-wide population was considered the base case. The remaining eight scenarios were treated as sensitivity analyses to evaluate the influence of different abundance indices and stock separation assumptions.</w:t>
      </w:r>
    </w:p>
    <w:p w14:paraId="60A72962"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3</w:t>
      </w:r>
      <w:r>
        <w:rPr>
          <w:rFonts w:ascii="Times New Roman" w:hAnsi="Times New Roman" w:cs="Times New Roman"/>
          <w:sz w:val="24"/>
          <w:szCs w:val="24"/>
        </w:rPr>
        <w:t xml:space="preserve">. </w:t>
      </w:r>
      <w:r>
        <w:rPr>
          <w:rStyle w:val="Strong"/>
          <w:rFonts w:ascii="Times New Roman" w:eastAsia="Segoe UI" w:hAnsi="Times New Roman" w:cs="Times New Roman"/>
          <w:b/>
          <w:color w:val="0F1115"/>
          <w:sz w:val="24"/>
          <w:szCs w:val="24"/>
          <w:shd w:val="clear" w:color="auto" w:fill="FFFFFF"/>
        </w:rPr>
        <w:t>Model parameterization and priors</w:t>
      </w:r>
    </w:p>
    <w:p w14:paraId="60A72963"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Prior distributions for model parameters were set following the common practice of applying JABBA to short-lived squid stocks and previous assessments of </w:t>
      </w:r>
      <w:r>
        <w:rPr>
          <w:rFonts w:ascii="Times New Roman" w:hAnsi="Times New Roman" w:cs="Times New Roman" w:hint="eastAsia"/>
          <w:sz w:val="24"/>
        </w:rPr>
        <w:t>NFS</w:t>
      </w:r>
      <w:r>
        <w:rPr>
          <w:rFonts w:ascii="Times New Roman" w:hAnsi="Times New Roman" w:cs="Times New Roman"/>
          <w:sz w:val="24"/>
        </w:rPr>
        <w:t xml:space="preserve"> (</w:t>
      </w:r>
      <w:r>
        <w:rPr>
          <w:rFonts w:ascii="Times New Roman" w:hAnsi="Times New Roman" w:cs="Times New Roman" w:hint="eastAsia"/>
          <w:sz w:val="24"/>
        </w:rPr>
        <w:t>Chen</w:t>
      </w:r>
      <w:r>
        <w:rPr>
          <w:rFonts w:ascii="Times New Roman" w:hAnsi="Times New Roman" w:cs="Times New Roman"/>
          <w:sz w:val="24"/>
        </w:rPr>
        <w:t xml:space="preserve"> et al., 20</w:t>
      </w:r>
      <w:r>
        <w:rPr>
          <w:rFonts w:ascii="Times New Roman" w:hAnsi="Times New Roman" w:cs="Times New Roman" w:hint="eastAsia"/>
          <w:sz w:val="24"/>
        </w:rPr>
        <w:t>0</w:t>
      </w:r>
      <w:r>
        <w:rPr>
          <w:rFonts w:ascii="Times New Roman" w:hAnsi="Times New Roman" w:cs="Times New Roman"/>
          <w:sz w:val="24"/>
        </w:rPr>
        <w:t>8; Wang et al., 2016). The intrinsic growth rate (r) was bounded between 0.6 and 1.5 year⁻¹ based on previous studies</w:t>
      </w:r>
      <w:r>
        <w:rPr>
          <w:rFonts w:ascii="Times New Roman" w:hAnsi="Times New Roman" w:cs="Times New Roman" w:hint="eastAsia"/>
          <w:sz w:val="24"/>
        </w:rPr>
        <w:t xml:space="preserve"> (</w:t>
      </w:r>
      <w:proofErr w:type="spellStart"/>
      <w:r>
        <w:rPr>
          <w:rFonts w:ascii="Times New Roman" w:hAnsi="Times New Roman" w:cs="Times New Roman"/>
          <w:sz w:val="24"/>
        </w:rPr>
        <w:t>Ichii</w:t>
      </w:r>
      <w:proofErr w:type="spellEnd"/>
      <w:r>
        <w:rPr>
          <w:rFonts w:ascii="Times New Roman" w:hAnsi="Times New Roman" w:cs="Times New Roman"/>
          <w:sz w:val="24"/>
        </w:rPr>
        <w:t xml:space="preserve"> et al</w:t>
      </w:r>
      <w:r>
        <w:rPr>
          <w:rFonts w:ascii="Times New Roman" w:hAnsi="Times New Roman" w:cs="Times New Roman" w:hint="eastAsia"/>
          <w:sz w:val="24"/>
        </w:rPr>
        <w:t xml:space="preserve">., 2006; </w:t>
      </w:r>
      <w:r>
        <w:rPr>
          <w:rFonts w:ascii="Times New Roman" w:hAnsi="Times New Roman" w:cs="Times New Roman"/>
          <w:sz w:val="24"/>
        </w:rPr>
        <w:t>Wang et al., 2016</w:t>
      </w:r>
      <w:r>
        <w:rPr>
          <w:rFonts w:ascii="Times New Roman" w:hAnsi="Times New Roman" w:cs="Times New Roman" w:hint="eastAsia"/>
          <w:sz w:val="24"/>
        </w:rPr>
        <w:t>)</w:t>
      </w:r>
      <w:r>
        <w:rPr>
          <w:rFonts w:ascii="Times New Roman" w:hAnsi="Times New Roman" w:cs="Times New Roman"/>
          <w:sz w:val="24"/>
        </w:rPr>
        <w:t xml:space="preserve">. A uniform </w:t>
      </w:r>
      <w:proofErr w:type="gramStart"/>
      <w:r>
        <w:rPr>
          <w:rFonts w:ascii="Times New Roman" w:hAnsi="Times New Roman" w:cs="Times New Roman"/>
          <w:sz w:val="24"/>
        </w:rPr>
        <w:t>prior</w:t>
      </w:r>
      <w:proofErr w:type="gramEnd"/>
      <w:r>
        <w:rPr>
          <w:rFonts w:ascii="Times New Roman" w:hAnsi="Times New Roman" w:cs="Times New Roman"/>
          <w:sz w:val="24"/>
        </w:rPr>
        <w:t xml:space="preserve"> for carrying capacity (K) was set from the maximum observed catch to ten times that value for each stock. Uninformative (diffuse) default priors were used for catchability (q) and initial depletion (</w:t>
      </w:r>
      <w:r>
        <w:rPr>
          <w:rFonts w:ascii="Times New Roman" w:hAnsi="Times New Roman" w:cs="Times New Roman" w:hint="eastAsia"/>
          <w:sz w:val="24"/>
        </w:rPr>
        <w:t>psi</w:t>
      </w:r>
      <w:r>
        <w:rPr>
          <w:rFonts w:ascii="Times New Roman" w:hAnsi="Times New Roman" w:cs="Times New Roman"/>
          <w:sz w:val="24"/>
        </w:rPr>
        <w:t>). Process error variance was given a diffuse Inverse-</w:t>
      </w:r>
      <w:proofErr w:type="gramStart"/>
      <w:r>
        <w:rPr>
          <w:rFonts w:ascii="Times New Roman" w:hAnsi="Times New Roman" w:cs="Times New Roman"/>
          <w:sz w:val="24"/>
        </w:rPr>
        <w:t>Gamma(</w:t>
      </w:r>
      <w:proofErr w:type="gramEnd"/>
      <w:r>
        <w:rPr>
          <w:rFonts w:ascii="Times New Roman" w:hAnsi="Times New Roman" w:cs="Times New Roman"/>
          <w:sz w:val="24"/>
        </w:rPr>
        <w:t>0.001,0.001) prior. A fixed coefficient of variation (</w:t>
      </w:r>
      <w:r>
        <w:rPr>
          <w:rFonts w:ascii="Times New Roman" w:hAnsi="Times New Roman" w:cs="Times New Roman"/>
          <w:sz w:val="24"/>
        </w:rPr>
        <w:t xml:space="preserve">CV = 0.1) was assumed for the catch observation error. </w:t>
      </w:r>
    </w:p>
    <w:p w14:paraId="60A72964"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4</w:t>
      </w:r>
      <w:r>
        <w:rPr>
          <w:rFonts w:ascii="Times New Roman" w:hAnsi="Times New Roman" w:cs="Times New Roman"/>
          <w:sz w:val="24"/>
          <w:szCs w:val="24"/>
        </w:rPr>
        <w:t xml:space="preserve">. </w:t>
      </w:r>
      <w:r>
        <w:rPr>
          <w:rStyle w:val="Strong"/>
          <w:rFonts w:ascii="Times New Roman" w:eastAsia="Segoe UI" w:hAnsi="Times New Roman" w:cs="Times New Roman"/>
          <w:b/>
          <w:color w:val="0F1115"/>
          <w:sz w:val="24"/>
          <w:szCs w:val="24"/>
          <w:shd w:val="clear" w:color="auto" w:fill="FFFFFF"/>
        </w:rPr>
        <w:t xml:space="preserve">Model </w:t>
      </w:r>
      <w:r>
        <w:rPr>
          <w:rStyle w:val="Strong"/>
          <w:rFonts w:ascii="Times New Roman" w:eastAsia="SimSun" w:hAnsi="Times New Roman" w:cs="Times New Roman" w:hint="eastAsia"/>
          <w:b/>
          <w:color w:val="0F1115"/>
          <w:sz w:val="24"/>
          <w:szCs w:val="24"/>
          <w:shd w:val="clear" w:color="auto" w:fill="FFFFFF"/>
        </w:rPr>
        <w:t>diagnostics</w:t>
      </w:r>
    </w:p>
    <w:p w14:paraId="60A72965"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Model convergence was assessed through visual inspection of MCMC trace plots, while model goodness of fit was evaluated by comparing observed and predicted CPUE values and quantified using the root mean square error (RMSE) of standardized </w:t>
      </w:r>
      <w:r>
        <w:rPr>
          <w:rFonts w:ascii="Times New Roman" w:hAnsi="Times New Roman" w:cs="Times New Roman"/>
          <w:sz w:val="24"/>
        </w:rPr>
        <w:lastRenderedPageBreak/>
        <w:t>residuals.</w:t>
      </w:r>
    </w:p>
    <w:p w14:paraId="60A72966"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 Retrospective analysis was conducted for the base case scenario by sequentially removing the most recent 1–5 years of data, and Mohn’s ρ was calculated to quantify retrospective bias</w:t>
      </w:r>
      <w:r>
        <w:rPr>
          <w:rFonts w:ascii="Times New Roman" w:hAnsi="Times New Roman" w:cs="Times New Roman" w:hint="eastAsia"/>
          <w:sz w:val="24"/>
        </w:rPr>
        <w:t xml:space="preserve"> (</w:t>
      </w:r>
      <w:r>
        <w:rPr>
          <w:rFonts w:ascii="Times New Roman" w:hAnsi="Times New Roman" w:cs="Times New Roman"/>
          <w:sz w:val="24"/>
        </w:rPr>
        <w:t>Mohn</w:t>
      </w:r>
      <w:r>
        <w:rPr>
          <w:rFonts w:ascii="Times New Roman" w:hAnsi="Times New Roman" w:cs="Times New Roman"/>
          <w:sz w:val="24"/>
        </w:rPr>
        <w:t>，</w:t>
      </w:r>
      <w:r>
        <w:rPr>
          <w:rFonts w:ascii="Times New Roman" w:hAnsi="Times New Roman" w:cs="Times New Roman"/>
          <w:sz w:val="24"/>
        </w:rPr>
        <w:t>1999</w:t>
      </w:r>
      <w:r>
        <w:rPr>
          <w:rFonts w:ascii="Times New Roman" w:hAnsi="Times New Roman" w:cs="Times New Roman" w:hint="eastAsia"/>
          <w:sz w:val="24"/>
        </w:rPr>
        <w:t>)</w:t>
      </w:r>
      <w:r>
        <w:rPr>
          <w:rFonts w:ascii="Times New Roman" w:hAnsi="Times New Roman" w:cs="Times New Roman"/>
          <w:sz w:val="24"/>
        </w:rPr>
        <w:t>.</w:t>
      </w:r>
    </w:p>
    <w:p w14:paraId="60A72967"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2.5. Model projection</w:t>
      </w:r>
    </w:p>
    <w:p w14:paraId="60A72968"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Short-term projections for 2025–2029 were conducted using the forecasting module in JABBA. The projections were initialized from the base case scenario (stock-wide, RF-standardized CPUE). Three constant-catch scenarios were defined:</w:t>
      </w:r>
      <w:r>
        <w:rPr>
          <w:rFonts w:ascii="Times New Roman" w:hAnsi="Times New Roman" w:cs="Times New Roman" w:hint="eastAsia"/>
          <w:sz w:val="24"/>
        </w:rPr>
        <w:t xml:space="preserve"> </w:t>
      </w:r>
      <w:r>
        <w:rPr>
          <w:rFonts w:ascii="Times New Roman" w:hAnsi="Times New Roman" w:cs="Times New Roman"/>
          <w:sz w:val="24"/>
        </w:rPr>
        <w:t xml:space="preserve">Low: </w:t>
      </w:r>
      <w:r>
        <w:rPr>
          <w:rFonts w:ascii="Times New Roman" w:hAnsi="Times New Roman" w:cs="Times New Roman" w:hint="eastAsia"/>
          <w:sz w:val="24"/>
        </w:rPr>
        <w:t>10</w:t>
      </w:r>
      <w:r>
        <w:rPr>
          <w:rFonts w:ascii="Times New Roman" w:hAnsi="Times New Roman" w:cs="Times New Roman"/>
          <w:sz w:val="24"/>
        </w:rPr>
        <w:t>,00</w:t>
      </w:r>
      <w:r>
        <w:rPr>
          <w:rFonts w:ascii="Times New Roman" w:hAnsi="Times New Roman" w:cs="Times New Roman" w:hint="eastAsia"/>
          <w:sz w:val="24"/>
        </w:rPr>
        <w:t>0</w:t>
      </w:r>
      <w:r>
        <w:rPr>
          <w:rFonts w:ascii="Times New Roman" w:hAnsi="Times New Roman" w:cs="Times New Roman"/>
          <w:sz w:val="24"/>
        </w:rPr>
        <w:t xml:space="preserve"> t/yr</w:t>
      </w:r>
      <w:r>
        <w:rPr>
          <w:rFonts w:ascii="Times New Roman" w:hAnsi="Times New Roman" w:cs="Times New Roman" w:hint="eastAsia"/>
          <w:sz w:val="24"/>
        </w:rPr>
        <w:t xml:space="preserve">, </w:t>
      </w:r>
      <w:r>
        <w:rPr>
          <w:rFonts w:ascii="Times New Roman" w:hAnsi="Times New Roman" w:cs="Times New Roman"/>
          <w:sz w:val="24"/>
        </w:rPr>
        <w:t>Medium: 3</w:t>
      </w:r>
      <w:r>
        <w:rPr>
          <w:rFonts w:ascii="Times New Roman" w:hAnsi="Times New Roman" w:cs="Times New Roman" w:hint="eastAsia"/>
          <w:sz w:val="24"/>
        </w:rPr>
        <w:t>5</w:t>
      </w:r>
      <w:r>
        <w:rPr>
          <w:rFonts w:ascii="Times New Roman" w:hAnsi="Times New Roman" w:cs="Times New Roman"/>
          <w:sz w:val="24"/>
        </w:rPr>
        <w:t>,000 t/yr</w:t>
      </w:r>
      <w:r>
        <w:rPr>
          <w:rFonts w:ascii="Times New Roman" w:hAnsi="Times New Roman" w:cs="Times New Roman" w:hint="eastAsia"/>
          <w:sz w:val="24"/>
        </w:rPr>
        <w:t xml:space="preserve">, </w:t>
      </w:r>
      <w:r>
        <w:rPr>
          <w:rFonts w:ascii="Times New Roman" w:hAnsi="Times New Roman" w:cs="Times New Roman"/>
          <w:sz w:val="24"/>
        </w:rPr>
        <w:t xml:space="preserve">High: </w:t>
      </w:r>
      <w:r>
        <w:rPr>
          <w:rFonts w:ascii="Times New Roman" w:hAnsi="Times New Roman" w:cs="Times New Roman" w:hint="eastAsia"/>
          <w:sz w:val="24"/>
        </w:rPr>
        <w:t>60</w:t>
      </w:r>
      <w:r>
        <w:rPr>
          <w:rFonts w:ascii="Times New Roman" w:hAnsi="Times New Roman" w:cs="Times New Roman"/>
          <w:sz w:val="24"/>
        </w:rPr>
        <w:t>,000 t/yr</w:t>
      </w:r>
      <w:r>
        <w:rPr>
          <w:rFonts w:ascii="Times New Roman" w:hAnsi="Times New Roman" w:cs="Times New Roman" w:hint="eastAsia"/>
          <w:sz w:val="24"/>
        </w:rPr>
        <w:t xml:space="preserve">. </w:t>
      </w:r>
      <w:r>
        <w:rPr>
          <w:rFonts w:ascii="Times New Roman" w:hAnsi="Times New Roman" w:cs="Times New Roman"/>
          <w:sz w:val="24"/>
        </w:rPr>
        <w:t xml:space="preserve">These scenarios bracket the range of recent historical catches. Productivity was assumed </w:t>
      </w:r>
      <w:proofErr w:type="gramStart"/>
      <w:r>
        <w:rPr>
          <w:rFonts w:ascii="Times New Roman" w:hAnsi="Times New Roman" w:cs="Times New Roman"/>
          <w:sz w:val="24"/>
        </w:rPr>
        <w:t>constant</w:t>
      </w:r>
      <w:proofErr w:type="gramEnd"/>
      <w:r>
        <w:rPr>
          <w:rFonts w:ascii="Times New Roman" w:hAnsi="Times New Roman" w:cs="Times New Roman"/>
          <w:sz w:val="24"/>
        </w:rPr>
        <w:t xml:space="preserve"> over the projection period.</w:t>
      </w:r>
    </w:p>
    <w:p w14:paraId="60A72969" w14:textId="77777777" w:rsidR="00E86DF3" w:rsidRDefault="00982083">
      <w:pPr>
        <w:pStyle w:val="Heading1"/>
        <w:keepNext/>
        <w:keepLines/>
        <w:rPr>
          <w:rFonts w:ascii="Times New Roman" w:hAnsi="Times New Roman" w:hint="default"/>
          <w:sz w:val="28"/>
          <w:szCs w:val="28"/>
        </w:rPr>
      </w:pPr>
      <w:r>
        <w:rPr>
          <w:rFonts w:ascii="Times New Roman" w:hAnsi="Times New Roman" w:hint="default"/>
          <w:sz w:val="28"/>
          <w:szCs w:val="28"/>
        </w:rPr>
        <w:t>3. Results</w:t>
      </w:r>
    </w:p>
    <w:p w14:paraId="60A7296A"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3.1. Model Performance and Consistency</w:t>
      </w:r>
    </w:p>
    <w:p w14:paraId="60A7296B"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Model convergence was assessed through visual inspection of MCMC trace plots. In the base-case scenario (stock-wide, RF-standardized CPUE), the trace plots for key parameters (e.g., carrying capacity </w:t>
      </w:r>
      <w:r>
        <w:rPr>
          <w:rStyle w:val="Emphasis"/>
          <w:rFonts w:ascii="Times New Roman" w:eastAsia="Segoe UI" w:hAnsi="Times New Roman" w:cs="Times New Roman"/>
          <w:color w:val="0F1115"/>
          <w:sz w:val="24"/>
          <w:shd w:val="clear" w:color="auto" w:fill="FFFFFF"/>
        </w:rPr>
        <w:t>K</w:t>
      </w:r>
      <w:r>
        <w:rPr>
          <w:rFonts w:ascii="Times New Roman" w:eastAsia="Segoe UI" w:hAnsi="Times New Roman" w:cs="Times New Roman"/>
          <w:color w:val="0F1115"/>
          <w:sz w:val="24"/>
          <w:shd w:val="clear" w:color="auto" w:fill="FFFFFF"/>
        </w:rPr>
        <w:t>, intrinsic growth rate </w:t>
      </w:r>
      <w:r>
        <w:rPr>
          <w:rFonts w:ascii="Times New Roman" w:eastAsia="Segoe UI" w:hAnsi="Times New Roman" w:cs="Times New Roman"/>
          <w:i/>
          <w:iCs/>
          <w:color w:val="0F1115"/>
          <w:sz w:val="24"/>
          <w:shd w:val="clear" w:color="auto" w:fill="FFFFFF"/>
        </w:rPr>
        <w:t>r</w:t>
      </w:r>
      <w:r>
        <w:rPr>
          <w:rFonts w:ascii="Times New Roman" w:eastAsia="Segoe UI" w:hAnsi="Times New Roman" w:cs="Times New Roman"/>
          <w:color w:val="0F1115"/>
          <w:sz w:val="24"/>
          <w:shd w:val="clear" w:color="auto" w:fill="FFFFFF"/>
        </w:rPr>
        <w:t xml:space="preserve">) showed stable chains with good mixing and overlapping trajectories (Fig. 4). This pattern was consistent across all scenarios, confirming reliable model convergence. To complement the visual assessment, convergence was also evaluated quantitatively using the </w:t>
      </w:r>
      <w:proofErr w:type="spellStart"/>
      <w:r>
        <w:rPr>
          <w:rFonts w:ascii="Times New Roman" w:eastAsia="Segoe UI" w:hAnsi="Times New Roman" w:cs="Times New Roman"/>
          <w:color w:val="0F1115"/>
          <w:sz w:val="24"/>
          <w:shd w:val="clear" w:color="auto" w:fill="FFFFFF"/>
        </w:rPr>
        <w:t>Geweke</w:t>
      </w:r>
      <w:proofErr w:type="spellEnd"/>
      <w:r>
        <w:rPr>
          <w:rFonts w:ascii="Times New Roman" w:eastAsia="Segoe UI" w:hAnsi="Times New Roman" w:cs="Times New Roman"/>
          <w:color w:val="0F1115"/>
          <w:sz w:val="24"/>
          <w:shd w:val="clear" w:color="auto" w:fill="FFFFFF"/>
        </w:rPr>
        <w:t xml:space="preserve"> diagnostic. All key parameters had </w:t>
      </w:r>
      <w:proofErr w:type="spellStart"/>
      <w:r>
        <w:rPr>
          <w:rFonts w:ascii="Times New Roman" w:eastAsia="Segoe UI" w:hAnsi="Times New Roman" w:cs="Times New Roman"/>
          <w:color w:val="0F1115"/>
          <w:sz w:val="24"/>
          <w:shd w:val="clear" w:color="auto" w:fill="FFFFFF"/>
        </w:rPr>
        <w:t>Geweke</w:t>
      </w:r>
      <w:proofErr w:type="spellEnd"/>
      <w:r>
        <w:rPr>
          <w:rFonts w:ascii="Times New Roman" w:eastAsia="Segoe UI" w:hAnsi="Times New Roman" w:cs="Times New Roman"/>
          <w:color w:val="0F1115"/>
          <w:sz w:val="24"/>
          <w:shd w:val="clear" w:color="auto" w:fill="FFFFFF"/>
        </w:rPr>
        <w:t xml:space="preserve"> p-values &gt; 0.05 (Table </w:t>
      </w:r>
      <w:r>
        <w:rPr>
          <w:rFonts w:ascii="Times New Roman" w:eastAsia="SimSun" w:hAnsi="Times New Roman" w:cs="Times New Roman" w:hint="eastAsia"/>
          <w:color w:val="0F1115"/>
          <w:sz w:val="24"/>
          <w:shd w:val="clear" w:color="auto" w:fill="FFFFFF"/>
        </w:rPr>
        <w:t>1</w:t>
      </w:r>
      <w:r>
        <w:rPr>
          <w:rFonts w:ascii="Times New Roman" w:eastAsia="Segoe UI" w:hAnsi="Times New Roman" w:cs="Times New Roman"/>
          <w:color w:val="0F1115"/>
          <w:sz w:val="24"/>
          <w:shd w:val="clear" w:color="auto" w:fill="FFFFFF"/>
        </w:rPr>
        <w:t>), providing statistical support for convergence.</w:t>
      </w:r>
    </w:p>
    <w:p w14:paraId="60A7296C"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 fit of the</w:t>
      </w:r>
      <w:r>
        <w:rPr>
          <w:rFonts w:ascii="Times New Roman" w:eastAsia="SimSun" w:hAnsi="Times New Roman" w:cs="Times New Roman" w:hint="eastAsia"/>
          <w:color w:val="0F1115"/>
          <w:sz w:val="24"/>
          <w:shd w:val="clear" w:color="auto" w:fill="FFFFFF"/>
        </w:rPr>
        <w:t xml:space="preserve"> JABBA</w:t>
      </w:r>
      <w:r>
        <w:rPr>
          <w:rFonts w:ascii="Times New Roman" w:eastAsia="Segoe UI" w:hAnsi="Times New Roman" w:cs="Times New Roman"/>
          <w:color w:val="0F1115"/>
          <w:sz w:val="24"/>
          <w:shd w:val="clear" w:color="auto" w:fill="FFFFFF"/>
        </w:rPr>
        <w:t xml:space="preserve"> model to the abundance indices was evaluated</w:t>
      </w:r>
      <w:r>
        <w:rPr>
          <w:rFonts w:ascii="Times New Roman" w:eastAsia="SimSun" w:hAnsi="Times New Roman" w:cs="Times New Roman" w:hint="eastAsia"/>
          <w:color w:val="0F1115"/>
          <w:sz w:val="24"/>
          <w:shd w:val="clear" w:color="auto" w:fill="FFFFFF"/>
        </w:rPr>
        <w:t xml:space="preserve"> by comparing observed and predicted CPUE values</w:t>
      </w:r>
      <w:r>
        <w:rPr>
          <w:rFonts w:ascii="Times New Roman" w:eastAsia="Segoe UI" w:hAnsi="Times New Roman" w:cs="Times New Roman"/>
          <w:color w:val="0F1115"/>
          <w:sz w:val="24"/>
          <w:shd w:val="clear" w:color="auto" w:fill="FFFFFF"/>
        </w:rPr>
        <w:t>.</w:t>
      </w:r>
      <w:r>
        <w:rPr>
          <w:rFonts w:ascii="Times New Roman" w:eastAsia="SimSun" w:hAnsi="Times New Roman" w:cs="Times New Roman" w:hint="eastAsia"/>
          <w:color w:val="0F1115"/>
          <w:sz w:val="24"/>
          <w:shd w:val="clear" w:color="auto" w:fill="FFFFFF"/>
        </w:rPr>
        <w:t xml:space="preserve"> </w:t>
      </w:r>
      <w:r>
        <w:rPr>
          <w:rFonts w:ascii="Times New Roman" w:hAnsi="Times New Roman" w:cs="Times New Roman"/>
          <w:sz w:val="24"/>
        </w:rPr>
        <w:t xml:space="preserve">A representative example using the stock-wide assessment with nominal CPUE is shown in Fig. </w:t>
      </w:r>
      <w:r>
        <w:rPr>
          <w:rFonts w:ascii="Times New Roman" w:hAnsi="Times New Roman" w:cs="Times New Roman" w:hint="eastAsia"/>
          <w:sz w:val="24"/>
        </w:rPr>
        <w:t>5.</w:t>
      </w:r>
      <w:r>
        <w:rPr>
          <w:rFonts w:ascii="Times New Roman" w:eastAsia="Segoe UI" w:hAnsi="Times New Roman" w:cs="Times New Roman"/>
          <w:color w:val="0F1115"/>
          <w:sz w:val="24"/>
          <w:shd w:val="clear" w:color="auto" w:fill="FFFFFF"/>
        </w:rPr>
        <w:t xml:space="preserve"> The observed CPUE values closely align with the model-predicted trajectory and its 95% credible interval, demonstrating satisfactory model fit. Diagnostic checks for the remaining scenarios yielded qualitatively similar results, confirming the robustness of all assessments.</w:t>
      </w:r>
    </w:p>
    <w:p w14:paraId="60A7296D"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Residual diagnostics confirmed the adequacy of model fits. Fig</w:t>
      </w:r>
      <w:r>
        <w:rPr>
          <w:rFonts w:ascii="Times New Roman" w:eastAsia="SimSun" w:hAnsi="Times New Roman" w:cs="Times New Roman" w:hint="eastAsia"/>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6 presents the standardized log-residuals for the stock-wide assessment using </w:t>
      </w:r>
      <w:r>
        <w:rPr>
          <w:rFonts w:ascii="Times New Roman" w:eastAsia="SimSun" w:hAnsi="Times New Roman" w:cs="Times New Roman" w:hint="eastAsia"/>
          <w:color w:val="0F1115"/>
          <w:sz w:val="24"/>
          <w:shd w:val="clear" w:color="auto" w:fill="FFFFFF"/>
        </w:rPr>
        <w:t>nominal</w:t>
      </w:r>
      <w:r>
        <w:rPr>
          <w:rFonts w:ascii="Times New Roman" w:eastAsia="Segoe UI" w:hAnsi="Times New Roman" w:cs="Times New Roman"/>
          <w:color w:val="0F1115"/>
          <w:sz w:val="24"/>
          <w:shd w:val="clear" w:color="auto" w:fill="FFFFFF"/>
        </w:rPr>
        <w:t xml:space="preserve"> CPUE. The residuals are randomly distributed around zero with no apparent temporal patterns, as indicated by the </w:t>
      </w:r>
      <w:r>
        <w:rPr>
          <w:rFonts w:ascii="Times New Roman" w:eastAsia="SimSun" w:hAnsi="Times New Roman" w:cs="Times New Roman" w:hint="eastAsia"/>
          <w:color w:val="0F1115"/>
          <w:sz w:val="24"/>
          <w:shd w:val="clear" w:color="auto" w:fill="FFFFFF"/>
        </w:rPr>
        <w:t>loess</w:t>
      </w:r>
      <w:r>
        <w:rPr>
          <w:rFonts w:ascii="Times New Roman" w:eastAsia="Segoe UI" w:hAnsi="Times New Roman" w:cs="Times New Roman"/>
          <w:color w:val="0F1115"/>
          <w:sz w:val="24"/>
          <w:shd w:val="clear" w:color="auto" w:fill="FFFFFF"/>
        </w:rPr>
        <w:t xml:space="preserve"> smoother remaining close to the zero line throughout the time series. </w:t>
      </w:r>
      <w:r>
        <w:rPr>
          <w:rFonts w:ascii="Times New Roman" w:eastAsia="Segoe UI" w:hAnsi="Times New Roman" w:cs="Times New Roman"/>
          <w:color w:val="0F1115"/>
          <w:sz w:val="24"/>
          <w:shd w:val="clear" w:color="auto" w:fill="FFFFFF"/>
        </w:rPr>
        <w:t xml:space="preserve">The root </w:t>
      </w:r>
      <w:proofErr w:type="gramStart"/>
      <w:r>
        <w:rPr>
          <w:rFonts w:ascii="Times New Roman" w:eastAsia="Segoe UI" w:hAnsi="Times New Roman" w:cs="Times New Roman"/>
          <w:color w:val="0F1115"/>
          <w:sz w:val="24"/>
          <w:shd w:val="clear" w:color="auto" w:fill="FFFFFF"/>
        </w:rPr>
        <w:t>mean</w:t>
      </w:r>
      <w:proofErr w:type="gramEnd"/>
      <w:r>
        <w:rPr>
          <w:rFonts w:ascii="Times New Roman" w:eastAsia="Segoe UI" w:hAnsi="Times New Roman" w:cs="Times New Roman"/>
          <w:color w:val="0F1115"/>
          <w:sz w:val="24"/>
          <w:shd w:val="clear" w:color="auto" w:fill="FFFFFF"/>
        </w:rPr>
        <w:t xml:space="preserve"> square error (RMSE) of 31.8% indicates a good fit to the data. Similar random residual patterns were observed across all nine assessment scenarios.</w:t>
      </w:r>
    </w:p>
    <w:p w14:paraId="60A7296E"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Prior and posterior distributions of key parameters for the base-case scenario are </w:t>
      </w:r>
      <w:r>
        <w:rPr>
          <w:rFonts w:ascii="Times New Roman" w:eastAsia="Segoe UI" w:hAnsi="Times New Roman" w:cs="Times New Roman"/>
          <w:color w:val="0F1115"/>
          <w:sz w:val="24"/>
          <w:shd w:val="clear" w:color="auto" w:fill="FFFFFF"/>
        </w:rPr>
        <w:lastRenderedPageBreak/>
        <w:t>shown in Fig.</w:t>
      </w:r>
      <w:r>
        <w:rPr>
          <w:rFonts w:ascii="Times New Roman" w:eastAsia="SimSun" w:hAnsi="Times New Roman" w:cs="Times New Roman" w:hint="eastAsia"/>
          <w:color w:val="0F1115"/>
          <w:sz w:val="24"/>
          <w:shd w:val="clear" w:color="auto" w:fill="FFFFFF"/>
        </w:rPr>
        <w:t xml:space="preserve"> 7</w:t>
      </w:r>
      <w:r>
        <w:rPr>
          <w:rFonts w:ascii="Times New Roman" w:eastAsia="Segoe UI" w:hAnsi="Times New Roman" w:cs="Times New Roman"/>
          <w:color w:val="0F1115"/>
          <w:sz w:val="24"/>
          <w:shd w:val="clear" w:color="auto" w:fill="FFFFFF"/>
        </w:rPr>
        <w:t>, confirming satisfactory model convergence. Specifically, the marginal posterior distribution of the intrinsic growth rate </w:t>
      </w:r>
      <w:r>
        <w:rPr>
          <w:rFonts w:ascii="Times New Roman" w:eastAsia="Segoe UI" w:hAnsi="Times New Roman" w:cs="Times New Roman"/>
          <w:i/>
          <w:iCs/>
          <w:color w:val="0F1115"/>
          <w:sz w:val="24"/>
          <w:shd w:val="clear" w:color="auto" w:fill="FFFFFF"/>
        </w:rPr>
        <w:t>r</w:t>
      </w:r>
      <w:r>
        <w:rPr>
          <w:rFonts w:ascii="Times New Roman" w:eastAsia="Segoe UI" w:hAnsi="Times New Roman" w:cs="Times New Roman"/>
          <w:color w:val="0F1115"/>
          <w:sz w:val="24"/>
          <w:shd w:val="clear" w:color="auto" w:fill="FFFFFF"/>
        </w:rPr>
        <w:t> showed little deviation from its prior, the posterior of the carrying capacity </w:t>
      </w:r>
      <w:r>
        <w:rPr>
          <w:rStyle w:val="Emphasis"/>
          <w:rFonts w:ascii="Times New Roman" w:eastAsia="Segoe UI" w:hAnsi="Times New Roman" w:cs="Times New Roman"/>
          <w:color w:val="0F1115"/>
          <w:sz w:val="24"/>
          <w:shd w:val="clear" w:color="auto" w:fill="FFFFFF"/>
        </w:rPr>
        <w:t>K</w:t>
      </w:r>
      <w:r>
        <w:rPr>
          <w:rFonts w:ascii="Times New Roman" w:eastAsia="Segoe UI" w:hAnsi="Times New Roman" w:cs="Times New Roman"/>
          <w:color w:val="0F1115"/>
          <w:sz w:val="24"/>
          <w:shd w:val="clear" w:color="auto" w:fill="FFFFFF"/>
        </w:rPr>
        <w:t> was considerably narrower than its prior, and the median of the posterior for the initial depletion </w:t>
      </w:r>
      <w:r>
        <w:rPr>
          <w:rStyle w:val="Emphasis"/>
          <w:rFonts w:ascii="Times New Roman" w:eastAsia="SimSun" w:hAnsi="Times New Roman" w:cs="Times New Roman" w:hint="eastAsia"/>
          <w:color w:val="0F1115"/>
          <w:sz w:val="24"/>
          <w:shd w:val="clear" w:color="auto" w:fill="FFFFFF"/>
        </w:rPr>
        <w:t>psi</w:t>
      </w:r>
      <w:r>
        <w:rPr>
          <w:rFonts w:ascii="Times New Roman" w:eastAsia="Segoe UI" w:hAnsi="Times New Roman" w:cs="Times New Roman"/>
          <w:color w:val="0F1115"/>
          <w:sz w:val="24"/>
          <w:shd w:val="clear" w:color="auto" w:fill="FFFFFF"/>
        </w:rPr>
        <w:t> remained very close to its prior.</w:t>
      </w:r>
    </w:p>
    <w:p w14:paraId="60A7296F" w14:textId="77777777" w:rsidR="00E86DF3" w:rsidRDefault="00982083">
      <w:pPr>
        <w:pStyle w:val="Heading2"/>
        <w:spacing w:line="240" w:lineRule="auto"/>
        <w:rPr>
          <w:rFonts w:ascii="Times New Roman" w:eastAsia="Segoe UI" w:hAnsi="Times New Roman" w:cs="Times New Roman"/>
          <w:color w:val="0F1115"/>
          <w:sz w:val="24"/>
          <w:shd w:val="clear" w:color="auto" w:fill="FFFFFF"/>
        </w:rPr>
      </w:pPr>
      <w:r>
        <w:rPr>
          <w:rFonts w:ascii="Times New Roman" w:hAnsi="Times New Roman" w:cs="Times New Roman"/>
          <w:sz w:val="24"/>
          <w:szCs w:val="24"/>
        </w:rPr>
        <w:t xml:space="preserve">3.2. </w:t>
      </w:r>
      <w:r>
        <w:rPr>
          <w:rFonts w:ascii="Times New Roman" w:hAnsi="Times New Roman" w:cs="Times New Roman" w:hint="eastAsia"/>
          <w:sz w:val="24"/>
          <w:szCs w:val="24"/>
        </w:rPr>
        <w:t>Stock status and reference points</w:t>
      </w:r>
    </w:p>
    <w:p w14:paraId="60A72970" w14:textId="77777777" w:rsidR="00E86DF3" w:rsidRDefault="00982083">
      <w:pPr>
        <w:spacing w:line="276" w:lineRule="auto"/>
        <w:ind w:firstLineChars="200" w:firstLine="480"/>
        <w:rPr>
          <w:rFonts w:ascii="Times New Roman" w:hAnsi="Times New Roman" w:cs="Times New Roman"/>
          <w:sz w:val="24"/>
        </w:rPr>
      </w:pPr>
      <w:r>
        <w:rPr>
          <w:rFonts w:ascii="Times New Roman" w:hAnsi="Times New Roman" w:cs="Times New Roman"/>
          <w:sz w:val="24"/>
        </w:rPr>
        <w:t>Based on the estimated biological parameters, key fisheries management reference points were derived for each assessment scenario, including the maximum sustainable yield (MSY), the biomass that can produce MSY (B</w:t>
      </w:r>
      <w:r>
        <w:rPr>
          <w:rFonts w:ascii="Times New Roman" w:hAnsi="Times New Roman" w:cs="Times New Roman"/>
          <w:sz w:val="24"/>
          <w:vertAlign w:val="subscript"/>
        </w:rPr>
        <w:t>MSY</w:t>
      </w:r>
      <w:r>
        <w:rPr>
          <w:rFonts w:ascii="Times New Roman" w:hAnsi="Times New Roman" w:cs="Times New Roman"/>
          <w:sz w:val="24"/>
        </w:rPr>
        <w:t>), and the corresponding fishing mortality rate (F</w:t>
      </w:r>
      <w:r>
        <w:rPr>
          <w:rFonts w:ascii="Times New Roman" w:hAnsi="Times New Roman" w:cs="Times New Roman"/>
          <w:sz w:val="24"/>
          <w:vertAlign w:val="subscript"/>
        </w:rPr>
        <w:t>MSY</w:t>
      </w:r>
      <w:r>
        <w:rPr>
          <w:rFonts w:ascii="Times New Roman" w:hAnsi="Times New Roman" w:cs="Times New Roman"/>
          <w:sz w:val="24"/>
        </w:rPr>
        <w:t xml:space="preserve">). The status of the stock in the terminal assessment year relative to these reference points provides the basis for scientific management advice. Table </w:t>
      </w:r>
      <w:r>
        <w:rPr>
          <w:rFonts w:ascii="Times New Roman" w:hAnsi="Times New Roman" w:cs="Times New Roman" w:hint="eastAsia"/>
          <w:sz w:val="24"/>
        </w:rPr>
        <w:t>2-4</w:t>
      </w:r>
      <w:r>
        <w:rPr>
          <w:rFonts w:ascii="Times New Roman" w:hAnsi="Times New Roman" w:cs="Times New Roman"/>
          <w:sz w:val="24"/>
        </w:rPr>
        <w:t xml:space="preserve"> presents the median posterior estimates of these reference points and the terminal year status ratios for all </w:t>
      </w:r>
      <w:r>
        <w:rPr>
          <w:rFonts w:ascii="Times New Roman" w:hAnsi="Times New Roman" w:cs="Times New Roman" w:hint="eastAsia"/>
          <w:sz w:val="24"/>
        </w:rPr>
        <w:t>nine</w:t>
      </w:r>
      <w:r>
        <w:rPr>
          <w:rFonts w:ascii="Times New Roman" w:hAnsi="Times New Roman" w:cs="Times New Roman"/>
          <w:sz w:val="24"/>
        </w:rPr>
        <w:t xml:space="preserve"> assessment scenarios.</w:t>
      </w:r>
    </w:p>
    <w:p w14:paraId="60A72971"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3</w:t>
      </w:r>
      <w:r>
        <w:rPr>
          <w:rFonts w:ascii="Times New Roman" w:hAnsi="Times New Roman" w:cs="Times New Roman"/>
          <w:sz w:val="24"/>
          <w:szCs w:val="24"/>
        </w:rPr>
        <w:t>. Biomass and fishing mortality trajectories</w:t>
      </w:r>
    </w:p>
    <w:p w14:paraId="60A72972"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hAnsi="Times New Roman" w:cs="Times New Roman"/>
          <w:sz w:val="24"/>
        </w:rPr>
        <w:t>This section presents the temporal trajectories of relative biomass (B/B</w:t>
      </w:r>
      <w:r>
        <w:rPr>
          <w:rFonts w:ascii="Times New Roman" w:hAnsi="Times New Roman" w:cs="Times New Roman"/>
          <w:sz w:val="24"/>
          <w:vertAlign w:val="subscript"/>
        </w:rPr>
        <w:t>MSY</w:t>
      </w:r>
      <w:r>
        <w:rPr>
          <w:rFonts w:ascii="Times New Roman" w:hAnsi="Times New Roman" w:cs="Times New Roman"/>
          <w:sz w:val="24"/>
        </w:rPr>
        <w:t>) and relative fishing mortality (F/F</w:t>
      </w:r>
      <w:r>
        <w:rPr>
          <w:rFonts w:ascii="Times New Roman" w:hAnsi="Times New Roman" w:cs="Times New Roman"/>
          <w:sz w:val="24"/>
          <w:vertAlign w:val="subscript"/>
        </w:rPr>
        <w:t>MSY</w:t>
      </w:r>
      <w:r>
        <w:rPr>
          <w:rFonts w:ascii="Times New Roman" w:hAnsi="Times New Roman" w:cs="Times New Roman"/>
          <w:sz w:val="24"/>
        </w:rPr>
        <w:t>) for the winter-spring cohort, autumn cohort, and stock-wide NFS (Fig</w:t>
      </w:r>
      <w:r>
        <w:rPr>
          <w:rFonts w:ascii="Times New Roman" w:hAnsi="Times New Roman" w:cs="Times New Roman" w:hint="eastAsia"/>
          <w:sz w:val="24"/>
        </w:rPr>
        <w:t>s.</w:t>
      </w:r>
      <w:r>
        <w:rPr>
          <w:rFonts w:ascii="Times New Roman" w:hAnsi="Times New Roman" w:cs="Times New Roman"/>
          <w:sz w:val="24"/>
        </w:rPr>
        <w:t xml:space="preserve"> </w:t>
      </w:r>
      <w:r>
        <w:rPr>
          <w:rFonts w:ascii="Times New Roman" w:hAnsi="Times New Roman" w:cs="Times New Roman" w:hint="eastAsia"/>
          <w:sz w:val="24"/>
        </w:rPr>
        <w:t>8-10</w:t>
      </w:r>
      <w:r>
        <w:rPr>
          <w:rFonts w:ascii="Times New Roman" w:hAnsi="Times New Roman" w:cs="Times New Roman"/>
          <w:sz w:val="24"/>
        </w:rPr>
        <w:t xml:space="preserve">). </w:t>
      </w:r>
      <w:r>
        <w:rPr>
          <w:rFonts w:ascii="Times New Roman" w:eastAsia="Segoe UI" w:hAnsi="Times New Roman" w:cs="Times New Roman"/>
          <w:color w:val="0F1115"/>
          <w:sz w:val="24"/>
          <w:shd w:val="clear" w:color="auto" w:fill="FFFFFF"/>
        </w:rPr>
        <w:t>The three CPUE indices produced highly consistent trends for each stock unit, demonstrating the robustness of the assessment. Despite interannual fluctuations, B/B</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remained above 1.0 and F/F</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remained at or below 1.0 throughout all assessment periods for all three stock units.</w:t>
      </w:r>
      <w:r>
        <w:rPr>
          <w:rFonts w:ascii="Times New Roman" w:eastAsia="SimSun" w:hAnsi="Times New Roman" w:cs="Times New Roman" w:hint="eastAsia"/>
          <w:color w:val="0F1115"/>
          <w:sz w:val="24"/>
          <w:shd w:val="clear" w:color="auto" w:fill="FFFFFF"/>
        </w:rPr>
        <w:t xml:space="preserve"> </w:t>
      </w:r>
      <w:r>
        <w:rPr>
          <w:rFonts w:ascii="Times New Roman" w:eastAsia="Segoe UI" w:hAnsi="Times New Roman" w:cs="Times New Roman"/>
          <w:color w:val="0F1115"/>
          <w:sz w:val="24"/>
          <w:shd w:val="clear" w:color="auto" w:fill="FFFFFF"/>
        </w:rPr>
        <w:t>This historical pattern indicates that the stocks have not been overfished and overfishing has not occurred in the past.</w:t>
      </w:r>
    </w:p>
    <w:p w14:paraId="60A72973"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4</w:t>
      </w:r>
      <w:r>
        <w:rPr>
          <w:rFonts w:ascii="Times New Roman" w:hAnsi="Times New Roman" w:cs="Times New Roman"/>
          <w:sz w:val="24"/>
          <w:szCs w:val="24"/>
        </w:rPr>
        <w:t>.</w:t>
      </w:r>
      <w:r>
        <w:rPr>
          <w:rFonts w:ascii="Times New Roman" w:hAnsi="Times New Roman" w:cs="Times New Roman" w:hint="eastAsia"/>
          <w:sz w:val="24"/>
          <w:szCs w:val="24"/>
        </w:rPr>
        <w:t xml:space="preserve"> Retrospective analysis</w:t>
      </w:r>
    </w:p>
    <w:p w14:paraId="60A72974" w14:textId="77777777" w:rsidR="00E86DF3" w:rsidRDefault="00982083">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Retrospective analysis was conducted for the base case scenario</w:t>
      </w:r>
      <w:r>
        <w:rPr>
          <w:rFonts w:ascii="Times New Roman" w:eastAsia="SimSun" w:hAnsi="Times New Roman" w:cs="Times New Roman" w:hint="eastAsia"/>
          <w:color w:val="0F1115"/>
          <w:sz w:val="24"/>
          <w:shd w:val="clear" w:color="auto" w:fill="FFFFFF"/>
        </w:rPr>
        <w:t xml:space="preserve"> (Fig. 11)</w:t>
      </w:r>
      <w:r>
        <w:rPr>
          <w:rFonts w:ascii="Times New Roman" w:eastAsia="Segoe UI" w:hAnsi="Times New Roman" w:cs="Times New Roman"/>
          <w:color w:val="0F1115"/>
          <w:sz w:val="24"/>
          <w:shd w:val="clear" w:color="auto" w:fill="FFFFFF"/>
        </w:rPr>
        <w:t>. The estimated biomass trajectories showed minimal systematic deviation, with Mohn’s ρ for terminal B/B</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xml:space="preserve"> estimated at 0.015. All Mohn’s ρ values were below 0.1, indicating negligible retrospective bias and confirming the stability of the model estimates over time.</w:t>
      </w:r>
    </w:p>
    <w:p w14:paraId="60A72975"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5</w:t>
      </w:r>
      <w:r>
        <w:rPr>
          <w:rFonts w:ascii="Times New Roman" w:hAnsi="Times New Roman" w:cs="Times New Roman"/>
          <w:sz w:val="24"/>
          <w:szCs w:val="24"/>
        </w:rPr>
        <w:t>.</w:t>
      </w:r>
      <w:r>
        <w:rPr>
          <w:rFonts w:ascii="Times New Roman" w:hAnsi="Times New Roman" w:cs="Times New Roman" w:hint="eastAsia"/>
          <w:sz w:val="24"/>
          <w:szCs w:val="24"/>
        </w:rPr>
        <w:t xml:space="preserve"> Projection results</w:t>
      </w:r>
    </w:p>
    <w:p w14:paraId="60A72976" w14:textId="77777777" w:rsidR="00E86DF3" w:rsidRDefault="00982083">
      <w:pPr>
        <w:spacing w:line="276" w:lineRule="auto"/>
        <w:ind w:firstLineChars="200" w:firstLine="480"/>
        <w:rPr>
          <w:rFonts w:ascii="Times New Roman" w:eastAsia="SimSun"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Results of the short-term projections are summarized in Table </w:t>
      </w:r>
      <w:r>
        <w:rPr>
          <w:rFonts w:ascii="Times New Roman" w:eastAsia="SimSun" w:hAnsi="Times New Roman" w:cs="Times New Roman" w:hint="eastAsia"/>
          <w:color w:val="0F1115"/>
          <w:sz w:val="24"/>
          <w:shd w:val="clear" w:color="auto" w:fill="FFFFFF"/>
        </w:rPr>
        <w:t>5</w:t>
      </w:r>
      <w:r>
        <w:rPr>
          <w:rFonts w:ascii="Times New Roman" w:eastAsia="Segoe UI" w:hAnsi="Times New Roman" w:cs="Times New Roman"/>
          <w:color w:val="0F1115"/>
          <w:sz w:val="24"/>
          <w:shd w:val="clear" w:color="auto" w:fill="FFFFFF"/>
        </w:rPr>
        <w:t xml:space="preserve"> and illustrated in Fig. </w:t>
      </w:r>
      <w:r>
        <w:rPr>
          <w:rFonts w:ascii="Times New Roman" w:eastAsia="SimSun" w:hAnsi="Times New Roman" w:cs="Times New Roman" w:hint="eastAsia"/>
          <w:color w:val="0F1115"/>
          <w:sz w:val="24"/>
          <w:shd w:val="clear" w:color="auto" w:fill="FFFFFF"/>
        </w:rPr>
        <w:t>12</w:t>
      </w:r>
      <w:r>
        <w:rPr>
          <w:rFonts w:ascii="Times New Roman" w:eastAsia="Segoe UI" w:hAnsi="Times New Roman" w:cs="Times New Roman"/>
          <w:color w:val="0F1115"/>
          <w:sz w:val="24"/>
          <w:shd w:val="clear" w:color="auto" w:fill="FFFFFF"/>
        </w:rPr>
        <w:t>. Under all scenarios, the stock remains above the biomass reference point (B/B</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w:t>
      </w:r>
      <w:r>
        <w:rPr>
          <w:rFonts w:ascii="Times New Roman" w:eastAsia="Segoe UI" w:hAnsi="Times New Roman" w:cs="Times New Roman"/>
          <w:color w:val="0F1115"/>
          <w:sz w:val="24"/>
          <w:shd w:val="clear" w:color="auto" w:fill="FFFFFF"/>
        </w:rPr>
        <w:t>&gt; 1.0) with fishing pressure below the overfishing limit (F/F</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w:t>
      </w:r>
      <w:r>
        <w:rPr>
          <w:rFonts w:ascii="Times New Roman" w:eastAsia="Segoe UI" w:hAnsi="Times New Roman" w:cs="Times New Roman"/>
          <w:color w:val="0F1115"/>
          <w:sz w:val="24"/>
          <w:shd w:val="clear" w:color="auto" w:fill="FFFFFF"/>
        </w:rPr>
        <w:t>&lt; 1.0) through 2029. The projected B/B</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values indicate a buffer above the B</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xml:space="preserve"> level, although the magnitude of the buffer decreases as the catch increases. Relative biomass shows a </w:t>
      </w:r>
      <w:r>
        <w:rPr>
          <w:rFonts w:ascii="Times New Roman" w:eastAsia="Segoe UI" w:hAnsi="Times New Roman" w:cs="Times New Roman"/>
          <w:color w:val="0F1115"/>
          <w:sz w:val="24"/>
          <w:shd w:val="clear" w:color="auto" w:fill="FFFFFF"/>
        </w:rPr>
        <w:lastRenderedPageBreak/>
        <w:t>slight increase under the Low scenario (+0.02</w:t>
      </w:r>
      <w:r>
        <w:rPr>
          <w:rFonts w:ascii="Times New Roman" w:eastAsia="SimSun" w:hAnsi="Times New Roman" w:cs="Times New Roman" w:hint="eastAsia"/>
          <w:color w:val="0F1115"/>
          <w:sz w:val="24"/>
          <w:shd w:val="clear" w:color="auto" w:fill="FFFFFF"/>
        </w:rPr>
        <w:t>61</w:t>
      </w:r>
      <w:r>
        <w:rPr>
          <w:rFonts w:ascii="Times New Roman" w:eastAsia="Segoe UI" w:hAnsi="Times New Roman" w:cs="Times New Roman"/>
          <w:color w:val="0F1115"/>
          <w:sz w:val="24"/>
          <w:shd w:val="clear" w:color="auto" w:fill="FFFFFF"/>
        </w:rPr>
        <w:t xml:space="preserve">), a modest decrease under the </w:t>
      </w:r>
      <w:proofErr w:type="gramStart"/>
      <w:r>
        <w:rPr>
          <w:rFonts w:ascii="Times New Roman" w:eastAsia="Segoe UI" w:hAnsi="Times New Roman" w:cs="Times New Roman"/>
          <w:color w:val="0F1115"/>
          <w:sz w:val="24"/>
          <w:shd w:val="clear" w:color="auto" w:fill="FFFFFF"/>
        </w:rPr>
        <w:t>Medium</w:t>
      </w:r>
      <w:proofErr w:type="gramEnd"/>
      <w:r>
        <w:rPr>
          <w:rFonts w:ascii="Times New Roman" w:eastAsia="Segoe UI" w:hAnsi="Times New Roman" w:cs="Times New Roman"/>
          <w:color w:val="0F1115"/>
          <w:sz w:val="24"/>
          <w:shd w:val="clear" w:color="auto" w:fill="FFFFFF"/>
        </w:rPr>
        <w:t xml:space="preserve"> scenario (−0.0</w:t>
      </w:r>
      <w:r>
        <w:rPr>
          <w:rFonts w:ascii="Times New Roman" w:eastAsia="SimSun" w:hAnsi="Times New Roman" w:cs="Times New Roman" w:hint="eastAsia"/>
          <w:color w:val="0F1115"/>
          <w:sz w:val="24"/>
          <w:shd w:val="clear" w:color="auto" w:fill="FFFFFF"/>
        </w:rPr>
        <w:t>691</w:t>
      </w:r>
      <w:r>
        <w:rPr>
          <w:rFonts w:ascii="Times New Roman" w:eastAsia="Segoe UI" w:hAnsi="Times New Roman" w:cs="Times New Roman"/>
          <w:color w:val="0F1115"/>
          <w:sz w:val="24"/>
          <w:shd w:val="clear" w:color="auto" w:fill="FFFFFF"/>
        </w:rPr>
        <w:t xml:space="preserve">), and a more pronounced decrease under the High </w:t>
      </w:r>
      <w:r>
        <w:rPr>
          <w:rFonts w:ascii="Times New Roman" w:eastAsia="Segoe UI" w:hAnsi="Times New Roman" w:cs="Times New Roman"/>
          <w:color w:val="0F1115"/>
          <w:sz w:val="24"/>
          <w:shd w:val="clear" w:color="auto" w:fill="FFFFFF"/>
        </w:rPr>
        <w:t>scenario (−0.17</w:t>
      </w:r>
      <w:r>
        <w:rPr>
          <w:rFonts w:ascii="Times New Roman" w:eastAsia="SimSun" w:hAnsi="Times New Roman" w:cs="Times New Roman" w:hint="eastAsia"/>
          <w:color w:val="0F1115"/>
          <w:sz w:val="24"/>
          <w:shd w:val="clear" w:color="auto" w:fill="FFFFFF"/>
        </w:rPr>
        <w:t>61</w:t>
      </w:r>
      <w:r>
        <w:rPr>
          <w:rFonts w:ascii="Times New Roman" w:eastAsia="Segoe UI" w:hAnsi="Times New Roman" w:cs="Times New Roman"/>
          <w:color w:val="0F1115"/>
          <w:sz w:val="24"/>
          <w:shd w:val="clear" w:color="auto" w:fill="FFFFFF"/>
        </w:rPr>
        <w:t>). Correspondingly, relative fishing mortality rises with higher catch levels but remains sustainable (F/F</w:t>
      </w:r>
      <w:r>
        <w:rPr>
          <w:rFonts w:ascii="Times New Roman" w:eastAsia="Segoe UI" w:hAnsi="Times New Roman" w:cs="Times New Roman"/>
          <w:color w:val="0F1115"/>
          <w:sz w:val="24"/>
          <w:shd w:val="clear" w:color="auto" w:fill="FFFFFF"/>
          <w:vertAlign w:val="subscript"/>
        </w:rPr>
        <w:t>MSY</w:t>
      </w:r>
      <w:r>
        <w:rPr>
          <w:rFonts w:ascii="Times New Roman" w:eastAsia="Segoe UI" w:hAnsi="Times New Roman" w:cs="Times New Roman"/>
          <w:color w:val="0F1115"/>
          <w:sz w:val="24"/>
          <w:shd w:val="clear" w:color="auto" w:fill="FFFFFF"/>
        </w:rPr>
        <w:t> &lt; 1).</w:t>
      </w:r>
      <w:r>
        <w:rPr>
          <w:rFonts w:ascii="Times New Roman" w:eastAsia="SimSun" w:hAnsi="Times New Roman" w:cs="Times New Roman" w:hint="eastAsia"/>
          <w:color w:val="0F1115"/>
          <w:sz w:val="24"/>
          <w:shd w:val="clear" w:color="auto" w:fill="FFFFFF"/>
        </w:rPr>
        <w:t xml:space="preserve"> </w:t>
      </w:r>
    </w:p>
    <w:p w14:paraId="60A72977" w14:textId="77777777" w:rsidR="00E86DF3" w:rsidRDefault="00982083">
      <w:pPr>
        <w:pStyle w:val="Heading2"/>
        <w:spacing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6</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Stock status summary</w:t>
      </w:r>
    </w:p>
    <w:p w14:paraId="60A72978" w14:textId="77777777" w:rsidR="00E86DF3" w:rsidRDefault="00982083">
      <w:pPr>
        <w:spacing w:line="276" w:lineRule="auto"/>
        <w:ind w:firstLineChars="200" w:firstLine="480"/>
        <w:rPr>
          <w:rFonts w:ascii="Times New Roman" w:eastAsia="Segoe UI" w:hAnsi="Times New Roman" w:cs="Times New Roman"/>
          <w:sz w:val="24"/>
          <w:shd w:val="clear" w:color="auto" w:fill="FFFFFF"/>
        </w:rPr>
      </w:pPr>
      <w:r>
        <w:rPr>
          <w:rFonts w:ascii="Times New Roman" w:hAnsi="Times New Roman" w:cs="Times New Roman"/>
          <w:sz w:val="24"/>
        </w:rPr>
        <w:t>The Kobe plots for the terminal assessment year (2024) are presented in Figs. 1</w:t>
      </w:r>
      <w:r>
        <w:rPr>
          <w:rFonts w:ascii="Times New Roman" w:hAnsi="Times New Roman" w:cs="Times New Roman" w:hint="eastAsia"/>
          <w:sz w:val="24"/>
        </w:rPr>
        <w:t>3-15</w:t>
      </w:r>
      <w:r>
        <w:rPr>
          <w:rFonts w:ascii="Times New Roman" w:hAnsi="Times New Roman" w:cs="Times New Roman"/>
          <w:sz w:val="24"/>
        </w:rPr>
        <w:t xml:space="preserve">, providing a visual summary of the stock status relative to MSY-based reference points. For all </w:t>
      </w:r>
      <w:r>
        <w:rPr>
          <w:rFonts w:ascii="Times New Roman" w:hAnsi="Times New Roman" w:cs="Times New Roman" w:hint="eastAsia"/>
          <w:sz w:val="24"/>
        </w:rPr>
        <w:t>nine</w:t>
      </w:r>
      <w:r>
        <w:rPr>
          <w:rFonts w:ascii="Times New Roman" w:hAnsi="Times New Roman" w:cs="Times New Roman"/>
          <w:sz w:val="24"/>
        </w:rPr>
        <w:t xml:space="preserve"> assessment scenarios (three stock units × </w:t>
      </w:r>
      <w:r>
        <w:rPr>
          <w:rFonts w:ascii="Times New Roman" w:hAnsi="Times New Roman" w:cs="Times New Roman" w:hint="eastAsia"/>
          <w:sz w:val="24"/>
        </w:rPr>
        <w:t>three</w:t>
      </w:r>
      <w:r>
        <w:rPr>
          <w:rFonts w:ascii="Times New Roman" w:hAnsi="Times New Roman" w:cs="Times New Roman"/>
          <w:sz w:val="24"/>
        </w:rPr>
        <w:t xml:space="preserve"> CPUE indices), the estimated stock status in 2024 falls within the green quadrant (B/B</w:t>
      </w:r>
      <w:r>
        <w:rPr>
          <w:rFonts w:ascii="Times New Roman" w:hAnsi="Times New Roman" w:cs="Times New Roman"/>
          <w:sz w:val="24"/>
          <w:vertAlign w:val="subscript"/>
        </w:rPr>
        <w:t>MSY</w:t>
      </w:r>
      <w:r>
        <w:rPr>
          <w:rFonts w:ascii="Times New Roman" w:hAnsi="Times New Roman" w:cs="Times New Roman"/>
          <w:sz w:val="24"/>
        </w:rPr>
        <w:t> &gt; 1, F/F</w:t>
      </w:r>
      <w:r>
        <w:rPr>
          <w:rFonts w:ascii="Times New Roman" w:hAnsi="Times New Roman" w:cs="Times New Roman"/>
          <w:sz w:val="24"/>
          <w:vertAlign w:val="subscript"/>
        </w:rPr>
        <w:t>MSY</w:t>
      </w:r>
      <w:r>
        <w:rPr>
          <w:rFonts w:ascii="Times New Roman" w:hAnsi="Times New Roman" w:cs="Times New Roman"/>
          <w:sz w:val="24"/>
        </w:rPr>
        <w:t> &lt; 1). This graphically confirms the conclusion drawn from the historical trajectories: neither the individual cohorts nor the combined stock were overfished, and overfishing was not occurring in 2024. These results provide direct scientific support for the</w:t>
      </w:r>
      <w:r>
        <w:rPr>
          <w:rFonts w:ascii="Times New Roman" w:hAnsi="Times New Roman" w:cs="Times New Roman"/>
          <w:sz w:val="24"/>
        </w:rPr>
        <w:t xml:space="preserve"> sustainable management of NFS fisheries in the Northwest Pacific</w:t>
      </w:r>
      <w:r>
        <w:rPr>
          <w:rFonts w:ascii="Times New Roman" w:hAnsi="Times New Roman" w:cs="Times New Roman" w:hint="eastAsia"/>
          <w:sz w:val="24"/>
        </w:rPr>
        <w:t>.</w:t>
      </w:r>
    </w:p>
    <w:p w14:paraId="60A72979" w14:textId="77777777" w:rsidR="00E86DF3" w:rsidRDefault="00982083">
      <w:pPr>
        <w:pStyle w:val="Heading1"/>
        <w:keepNext/>
        <w:keepLines/>
        <w:rPr>
          <w:rFonts w:ascii="Times New Roman" w:hAnsi="Times New Roman" w:hint="default"/>
          <w:sz w:val="28"/>
          <w:szCs w:val="28"/>
        </w:rPr>
      </w:pPr>
      <w:r>
        <w:rPr>
          <w:rFonts w:ascii="Times New Roman" w:hAnsi="Times New Roman" w:hint="default"/>
          <w:sz w:val="28"/>
          <w:szCs w:val="28"/>
        </w:rPr>
        <w:t>4. Discussion</w:t>
      </w:r>
    </w:p>
    <w:p w14:paraId="60A7297A" w14:textId="77777777" w:rsidR="00E86DF3" w:rsidRDefault="00982083">
      <w:pPr>
        <w:spacing w:line="276" w:lineRule="auto"/>
        <w:ind w:firstLineChars="200" w:firstLine="480"/>
        <w:rPr>
          <w:rFonts w:ascii="Times New Roman" w:eastAsia="SimSun" w:hAnsi="Times New Roman" w:cs="Times New Roman"/>
          <w:sz w:val="24"/>
        </w:rPr>
      </w:pPr>
      <w:r>
        <w:rPr>
          <w:rFonts w:ascii="Times New Roman" w:eastAsia="Segoe UI" w:hAnsi="Times New Roman" w:cs="Times New Roman"/>
          <w:color w:val="0F1115"/>
          <w:sz w:val="24"/>
          <w:shd w:val="clear" w:color="auto" w:fill="FFFFFF"/>
        </w:rPr>
        <w:t>This study presents an updated stock assessment of neon flying squid in the Northwest Pacific Ocean using the JABBA model, integrating NPFC-compiled catch data from multiple fishing entities and Chinese jigger-based CPUE series through 2024.</w:t>
      </w:r>
      <w:r>
        <w:rPr>
          <w:rFonts w:ascii="Times New Roman" w:eastAsia="SimSun"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All models achieved satisfactory convergence and passed residual diagnostics. Retrospective analysis confirmed the stability of the base case model, with Mohn’s ρ well below 0.1.</w:t>
      </w:r>
      <w:r>
        <w:rPr>
          <w:rFonts w:ascii="Times New Roman" w:eastAsia="SimSun" w:hAnsi="Times New Roman" w:cs="Times New Roman"/>
          <w:color w:val="0F1115"/>
          <w:sz w:val="24"/>
          <w:shd w:val="clear" w:color="auto" w:fill="FFFFFF"/>
        </w:rPr>
        <w:t xml:space="preserve"> </w:t>
      </w:r>
      <w:r>
        <w:rPr>
          <w:rFonts w:ascii="Times New Roman" w:hAnsi="Times New Roman" w:cs="Times New Roman"/>
          <w:sz w:val="24"/>
        </w:rPr>
        <w:t>All nine assessment scenarios, encompassing different cohorts and CPUE indices, successfully converged with satisfactory model diagnostics, confirming the reliability of the fits. Despite some variation in absolute biomass estimates, all scenarios converged on a consistent conclusion regarding stock status: the terminal year (2024</w:t>
      </w:r>
      <w:r>
        <w:rPr>
          <w:rFonts w:ascii="Times New Roman" w:hAnsi="Times New Roman" w:cs="Times New Roman"/>
          <w:sz w:val="24"/>
        </w:rPr>
        <w:t>) status for the winter-spring cohort, autumn cohort, and the stock-wide population was robustly positioned within the green quadrant of the Kobe plot. This indicates that the stocks were likely not overfished and overfishing was probably not occurring. The high consistency in resource trends derived from the three CPUE standardization methods further validates the robustness of the assessment. Additionally, short-term projections support the stock’s resilience to catch levels within the recent historical r</w:t>
      </w:r>
      <w:r>
        <w:rPr>
          <w:rFonts w:ascii="Times New Roman" w:hAnsi="Times New Roman" w:cs="Times New Roman"/>
          <w:sz w:val="24"/>
        </w:rPr>
        <w:t xml:space="preserve">ange. Overall, the current exploitation appears sustainable. </w:t>
      </w:r>
    </w:p>
    <w:p w14:paraId="60A7297B" w14:textId="77777777" w:rsidR="00E86DF3" w:rsidRDefault="00982083">
      <w:pPr>
        <w:spacing w:line="276" w:lineRule="auto"/>
        <w:ind w:firstLineChars="200" w:firstLine="480"/>
        <w:rPr>
          <w:rFonts w:ascii="Times New Roman" w:hAnsi="Times New Roman" w:cs="Times New Roman"/>
          <w:sz w:val="24"/>
        </w:rPr>
      </w:pPr>
      <w:r>
        <w:rPr>
          <w:rFonts w:ascii="Times New Roman" w:eastAsia="Segoe UI" w:hAnsi="Times New Roman" w:cs="Times New Roman"/>
          <w:color w:val="0F1115"/>
          <w:sz w:val="24"/>
          <w:shd w:val="clear" w:color="auto" w:fill="FFFFFF"/>
        </w:rPr>
        <w:t>In summary, this assessment provides a robust scientific basis to consider the current exploitation of neon flying squid as sustainable under the NPFC management framework.</w:t>
      </w:r>
    </w:p>
    <w:p w14:paraId="60A7297C" w14:textId="77777777" w:rsidR="00E86DF3" w:rsidRDefault="00982083">
      <w:pPr>
        <w:pStyle w:val="Heading1"/>
        <w:keepNext/>
        <w:keepLines/>
        <w:spacing w:afterAutospacing="0"/>
        <w:rPr>
          <w:rFonts w:ascii="Times New Roman" w:eastAsia="Segoe UI" w:hAnsi="Times New Roman" w:hint="default"/>
          <w:sz w:val="24"/>
          <w:szCs w:val="24"/>
          <w:shd w:val="clear" w:color="auto" w:fill="FFFFFF"/>
        </w:rPr>
      </w:pPr>
      <w:r>
        <w:rPr>
          <w:rFonts w:ascii="Times New Roman" w:hAnsi="Times New Roman" w:hint="default"/>
          <w:sz w:val="28"/>
          <w:szCs w:val="28"/>
        </w:rPr>
        <w:lastRenderedPageBreak/>
        <w:t>References</w:t>
      </w:r>
    </w:p>
    <w:p w14:paraId="60A7297D" w14:textId="77777777" w:rsidR="00E86DF3" w:rsidRDefault="00982083">
      <w:pPr>
        <w:spacing w:line="276" w:lineRule="auto"/>
        <w:ind w:left="480" w:hangingChars="200" w:hanging="480"/>
        <w:rPr>
          <w:rFonts w:ascii="Times New Roman" w:hAnsi="Times New Roman" w:cs="Times New Roman"/>
          <w:sz w:val="24"/>
        </w:rPr>
      </w:pPr>
      <w:r>
        <w:rPr>
          <w:rFonts w:ascii="Times New Roman" w:hAnsi="Times New Roman" w:cs="Times New Roman"/>
          <w:sz w:val="24"/>
        </w:rPr>
        <w:t>Roper C</w:t>
      </w:r>
      <w:r>
        <w:rPr>
          <w:rFonts w:ascii="Times New Roman" w:hAnsi="Times New Roman" w:cs="Times New Roman" w:hint="eastAsia"/>
          <w:sz w:val="24"/>
        </w:rPr>
        <w:t xml:space="preserve"> </w:t>
      </w:r>
      <w:r>
        <w:rPr>
          <w:rFonts w:ascii="Times New Roman" w:hAnsi="Times New Roman" w:cs="Times New Roman"/>
          <w:sz w:val="24"/>
        </w:rPr>
        <w:t>F</w:t>
      </w:r>
      <w:r>
        <w:rPr>
          <w:rFonts w:ascii="Times New Roman" w:hAnsi="Times New Roman" w:cs="Times New Roman" w:hint="eastAsia"/>
          <w:sz w:val="24"/>
        </w:rPr>
        <w:t xml:space="preserve"> </w:t>
      </w:r>
      <w:r>
        <w:rPr>
          <w:rFonts w:ascii="Times New Roman" w:hAnsi="Times New Roman" w:cs="Times New Roman"/>
          <w:sz w:val="24"/>
        </w:rPr>
        <w:t>E, Sweeney M</w:t>
      </w:r>
      <w:r>
        <w:rPr>
          <w:rFonts w:ascii="Times New Roman" w:hAnsi="Times New Roman" w:cs="Times New Roman" w:hint="eastAsia"/>
          <w:sz w:val="24"/>
        </w:rPr>
        <w:t xml:space="preserve"> </w:t>
      </w:r>
      <w:r>
        <w:rPr>
          <w:rFonts w:ascii="Times New Roman" w:hAnsi="Times New Roman" w:cs="Times New Roman"/>
          <w:sz w:val="24"/>
        </w:rPr>
        <w:t xml:space="preserve">J, </w:t>
      </w:r>
      <w:proofErr w:type="spellStart"/>
      <w:r>
        <w:rPr>
          <w:rFonts w:ascii="Times New Roman" w:hAnsi="Times New Roman" w:cs="Times New Roman"/>
          <w:sz w:val="24"/>
        </w:rPr>
        <w:t>Nauen</w:t>
      </w:r>
      <w:proofErr w:type="spellEnd"/>
      <w:r>
        <w:rPr>
          <w:rFonts w:ascii="Times New Roman" w:hAnsi="Times New Roman" w:cs="Times New Roman"/>
          <w:sz w:val="24"/>
        </w:rPr>
        <w:t xml:space="preserve"> C</w:t>
      </w:r>
      <w:r>
        <w:rPr>
          <w:rFonts w:ascii="Times New Roman" w:hAnsi="Times New Roman" w:cs="Times New Roman" w:hint="eastAsia"/>
          <w:sz w:val="24"/>
        </w:rPr>
        <w:t xml:space="preserve"> </w:t>
      </w:r>
      <w:r>
        <w:rPr>
          <w:rFonts w:ascii="Times New Roman" w:hAnsi="Times New Roman" w:cs="Times New Roman"/>
          <w:sz w:val="24"/>
        </w:rPr>
        <w:t>E</w:t>
      </w:r>
      <w:r>
        <w:rPr>
          <w:rFonts w:ascii="Times New Roman" w:hAnsi="Times New Roman" w:cs="Times New Roman" w:hint="eastAsia"/>
          <w:sz w:val="24"/>
        </w:rPr>
        <w:t xml:space="preserve">. 1984. </w:t>
      </w:r>
      <w:r>
        <w:rPr>
          <w:rFonts w:ascii="Times New Roman" w:hAnsi="Times New Roman" w:cs="Times New Roman"/>
          <w:sz w:val="24"/>
        </w:rPr>
        <w:t xml:space="preserve">Cephalopods of the </w:t>
      </w:r>
      <w:r>
        <w:rPr>
          <w:rFonts w:ascii="Times New Roman" w:hAnsi="Times New Roman" w:cs="Times New Roman" w:hint="eastAsia"/>
          <w:sz w:val="24"/>
        </w:rPr>
        <w:t>w</w:t>
      </w:r>
      <w:r>
        <w:rPr>
          <w:rFonts w:ascii="Times New Roman" w:hAnsi="Times New Roman" w:cs="Times New Roman"/>
          <w:sz w:val="24"/>
        </w:rPr>
        <w:t xml:space="preserve">orld: An </w:t>
      </w:r>
      <w:r>
        <w:rPr>
          <w:rFonts w:ascii="Times New Roman" w:hAnsi="Times New Roman" w:cs="Times New Roman" w:hint="eastAsia"/>
          <w:sz w:val="24"/>
        </w:rPr>
        <w:t>a</w:t>
      </w:r>
      <w:r>
        <w:rPr>
          <w:rFonts w:ascii="Times New Roman" w:hAnsi="Times New Roman" w:cs="Times New Roman"/>
          <w:sz w:val="24"/>
        </w:rPr>
        <w:t xml:space="preserve">nnotated and </w:t>
      </w:r>
      <w:r>
        <w:rPr>
          <w:rFonts w:ascii="Times New Roman" w:hAnsi="Times New Roman" w:cs="Times New Roman" w:hint="eastAsia"/>
          <w:sz w:val="24"/>
        </w:rPr>
        <w:t>i</w:t>
      </w:r>
      <w:r>
        <w:rPr>
          <w:rFonts w:ascii="Times New Roman" w:hAnsi="Times New Roman" w:cs="Times New Roman"/>
          <w:sz w:val="24"/>
        </w:rPr>
        <w:t xml:space="preserve">llustrated </w:t>
      </w:r>
      <w:r>
        <w:rPr>
          <w:rFonts w:ascii="Times New Roman" w:hAnsi="Times New Roman" w:cs="Times New Roman" w:hint="eastAsia"/>
          <w:sz w:val="24"/>
        </w:rPr>
        <w:t>c</w:t>
      </w:r>
      <w:r>
        <w:rPr>
          <w:rFonts w:ascii="Times New Roman" w:hAnsi="Times New Roman" w:cs="Times New Roman"/>
          <w:sz w:val="24"/>
        </w:rPr>
        <w:t xml:space="preserve">atalogue of </w:t>
      </w:r>
      <w:r>
        <w:rPr>
          <w:rFonts w:ascii="Times New Roman" w:hAnsi="Times New Roman" w:cs="Times New Roman" w:hint="eastAsia"/>
          <w:sz w:val="24"/>
        </w:rPr>
        <w:t>s</w:t>
      </w:r>
      <w:r>
        <w:rPr>
          <w:rFonts w:ascii="Times New Roman" w:hAnsi="Times New Roman" w:cs="Times New Roman"/>
          <w:sz w:val="24"/>
        </w:rPr>
        <w:t xml:space="preserve">pecies of </w:t>
      </w:r>
      <w:r>
        <w:rPr>
          <w:rFonts w:ascii="Times New Roman" w:hAnsi="Times New Roman" w:cs="Times New Roman" w:hint="eastAsia"/>
          <w:sz w:val="24"/>
        </w:rPr>
        <w:t>i</w:t>
      </w:r>
      <w:r>
        <w:rPr>
          <w:rFonts w:ascii="Times New Roman" w:hAnsi="Times New Roman" w:cs="Times New Roman"/>
          <w:sz w:val="24"/>
        </w:rPr>
        <w:t xml:space="preserve">nterest to </w:t>
      </w:r>
      <w:r>
        <w:rPr>
          <w:rFonts w:ascii="Times New Roman" w:hAnsi="Times New Roman" w:cs="Times New Roman" w:hint="eastAsia"/>
          <w:sz w:val="24"/>
        </w:rPr>
        <w:t>f</w:t>
      </w:r>
      <w:r>
        <w:rPr>
          <w:rFonts w:ascii="Times New Roman" w:hAnsi="Times New Roman" w:cs="Times New Roman"/>
          <w:sz w:val="24"/>
        </w:rPr>
        <w:t>isheries</w:t>
      </w:r>
      <w:r>
        <w:rPr>
          <w:rFonts w:ascii="Times New Roman" w:hAnsi="Times New Roman" w:cs="Times New Roman" w:hint="eastAsia"/>
          <w:sz w:val="24"/>
        </w:rPr>
        <w:t xml:space="preserve">. </w:t>
      </w:r>
      <w:r>
        <w:rPr>
          <w:rFonts w:ascii="Times New Roman" w:hAnsi="Times New Roman" w:cs="Times New Roman"/>
          <w:sz w:val="24"/>
        </w:rPr>
        <w:t>Rome: FAO,</w:t>
      </w:r>
      <w:r>
        <w:rPr>
          <w:rFonts w:ascii="Times New Roman" w:hAnsi="Times New Roman" w:cs="Times New Roman" w:hint="eastAsia"/>
          <w:sz w:val="24"/>
        </w:rPr>
        <w:t xml:space="preserve"> 1.</w:t>
      </w:r>
      <w:r>
        <w:rPr>
          <w:rFonts w:ascii="Times New Roman" w:hAnsi="Times New Roman" w:cs="Times New Roman"/>
          <w:sz w:val="24"/>
        </w:rPr>
        <w:t xml:space="preserve"> </w:t>
      </w:r>
    </w:p>
    <w:p w14:paraId="60A7297E" w14:textId="77777777" w:rsidR="00E86DF3" w:rsidRDefault="00982083">
      <w:pPr>
        <w:spacing w:line="276" w:lineRule="auto"/>
        <w:ind w:left="480" w:hangingChars="200" w:hanging="480"/>
        <w:rPr>
          <w:rFonts w:ascii="Times New Roman" w:hAnsi="Times New Roman" w:cs="Times New Roman"/>
          <w:sz w:val="24"/>
        </w:rPr>
      </w:pPr>
      <w:proofErr w:type="spellStart"/>
      <w:r>
        <w:rPr>
          <w:rFonts w:ascii="Times New Roman" w:hAnsi="Times New Roman" w:cs="Times New Roman"/>
          <w:sz w:val="24"/>
        </w:rPr>
        <w:t>Yatsu</w:t>
      </w:r>
      <w:proofErr w:type="spellEnd"/>
      <w:r>
        <w:rPr>
          <w:rFonts w:ascii="Times New Roman" w:hAnsi="Times New Roman" w:cs="Times New Roman"/>
          <w:sz w:val="24"/>
        </w:rPr>
        <w:t xml:space="preserve"> A, Midorikawa S, Shimada T, </w:t>
      </w:r>
      <w:proofErr w:type="spellStart"/>
      <w:r>
        <w:rPr>
          <w:rFonts w:ascii="Times New Roman" w:hAnsi="Times New Roman" w:cs="Times New Roman" w:hint="eastAsia"/>
          <w:sz w:val="24"/>
        </w:rPr>
        <w:t>Uozumi</w:t>
      </w:r>
      <w:proofErr w:type="spellEnd"/>
      <w:r>
        <w:rPr>
          <w:rFonts w:ascii="Times New Roman" w:hAnsi="Times New Roman" w:cs="Times New Roman" w:hint="eastAsia"/>
          <w:sz w:val="24"/>
        </w:rPr>
        <w:t xml:space="preserve"> Y</w:t>
      </w:r>
      <w:r>
        <w:rPr>
          <w:rFonts w:ascii="Times New Roman" w:hAnsi="Times New Roman" w:cs="Times New Roman"/>
          <w:sz w:val="24"/>
        </w:rPr>
        <w:t xml:space="preserve">. 1997. Age and growth of 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w:t>
      </w:r>
      <w:proofErr w:type="spellEnd"/>
      <w:r>
        <w:rPr>
          <w:rFonts w:ascii="Times New Roman" w:hAnsi="Times New Roman" w:cs="Times New Roman"/>
          <w:sz w:val="24"/>
        </w:rPr>
        <w:t>, in the North Pacific Ocean. Fisheries Research, 29: 257-270.</w:t>
      </w:r>
    </w:p>
    <w:p w14:paraId="60A7297F" w14:textId="77777777" w:rsidR="00E86DF3" w:rsidRDefault="00982083">
      <w:pPr>
        <w:spacing w:line="276" w:lineRule="auto"/>
        <w:ind w:left="480" w:hangingChars="200" w:hanging="480"/>
        <w:rPr>
          <w:rFonts w:ascii="Times New Roman" w:hAnsi="Times New Roman" w:cs="Times New Roman"/>
          <w:sz w:val="24"/>
        </w:rPr>
      </w:pPr>
      <w:proofErr w:type="spellStart"/>
      <w:r>
        <w:rPr>
          <w:rFonts w:ascii="Times New Roman" w:hAnsi="Times New Roman" w:cs="Times New Roman" w:hint="eastAsia"/>
          <w:sz w:val="24"/>
        </w:rPr>
        <w:t>Yatsu</w:t>
      </w:r>
      <w:proofErr w:type="spellEnd"/>
      <w:r>
        <w:rPr>
          <w:rFonts w:ascii="Times New Roman" w:hAnsi="Times New Roman" w:cs="Times New Roman" w:hint="eastAsia"/>
          <w:sz w:val="24"/>
        </w:rPr>
        <w:t xml:space="preserve"> A, Tanaka H, Mori J. 1998. Population structure </w:t>
      </w:r>
      <w:proofErr w:type="spellStart"/>
      <w:r>
        <w:rPr>
          <w:rFonts w:ascii="Times New Roman" w:hAnsi="Times New Roman" w:cs="Times New Roman" w:hint="eastAsia"/>
          <w:sz w:val="24"/>
        </w:rPr>
        <w:t>ofthe</w:t>
      </w:r>
      <w:proofErr w:type="spellEnd"/>
      <w:r>
        <w:rPr>
          <w:rFonts w:ascii="Times New Roman" w:hAnsi="Times New Roman" w:cs="Times New Roman" w:hint="eastAsia"/>
          <w:sz w:val="24"/>
        </w:rPr>
        <w:t xml:space="preserve"> neon flying squid, </w:t>
      </w:r>
      <w:proofErr w:type="spellStart"/>
      <w:r>
        <w:rPr>
          <w:rFonts w:ascii="Times New Roman" w:hAnsi="Times New Roman" w:cs="Times New Roman" w:hint="eastAsia"/>
          <w:i/>
          <w:iCs/>
          <w:sz w:val="24"/>
        </w:rPr>
        <w:t>Ommastrephes</w:t>
      </w:r>
      <w:proofErr w:type="spellEnd"/>
      <w:r>
        <w:rPr>
          <w:rFonts w:ascii="Times New Roman" w:hAnsi="Times New Roman" w:cs="Times New Roman" w:hint="eastAsia"/>
          <w:i/>
          <w:iCs/>
          <w:sz w:val="24"/>
        </w:rPr>
        <w:t xml:space="preserve"> </w:t>
      </w:r>
      <w:proofErr w:type="spellStart"/>
      <w:r>
        <w:rPr>
          <w:rFonts w:ascii="Times New Roman" w:hAnsi="Times New Roman" w:cs="Times New Roman" w:hint="eastAsia"/>
          <w:i/>
          <w:iCs/>
          <w:sz w:val="24"/>
        </w:rPr>
        <w:t>bartramii</w:t>
      </w:r>
      <w:proofErr w:type="spellEnd"/>
      <w:r>
        <w:rPr>
          <w:rFonts w:ascii="Times New Roman" w:hAnsi="Times New Roman" w:cs="Times New Roman" w:hint="eastAsia"/>
          <w:sz w:val="24"/>
        </w:rPr>
        <w:t xml:space="preserve">, in the North Pacific. Japan marine fishery resources </w:t>
      </w:r>
      <w:proofErr w:type="spellStart"/>
      <w:r>
        <w:rPr>
          <w:rFonts w:ascii="Times New Roman" w:hAnsi="Times New Roman" w:cs="Times New Roman" w:hint="eastAsia"/>
          <w:sz w:val="24"/>
        </w:rPr>
        <w:t>researchcenter</w:t>
      </w:r>
      <w:proofErr w:type="spellEnd"/>
      <w:r>
        <w:rPr>
          <w:rFonts w:ascii="Times New Roman" w:hAnsi="Times New Roman" w:cs="Times New Roman" w:hint="eastAsia"/>
          <w:sz w:val="24"/>
        </w:rPr>
        <w:t>, p 31-48.</w:t>
      </w:r>
    </w:p>
    <w:p w14:paraId="60A72980" w14:textId="77777777" w:rsidR="00E86DF3" w:rsidRDefault="00982083">
      <w:pPr>
        <w:spacing w:line="276" w:lineRule="auto"/>
        <w:ind w:left="480" w:hangingChars="200" w:hanging="480"/>
        <w:rPr>
          <w:rFonts w:ascii="Times New Roman" w:hAnsi="Times New Roman" w:cs="Times New Roman"/>
          <w:sz w:val="24"/>
        </w:rPr>
      </w:pPr>
      <w:r>
        <w:rPr>
          <w:rFonts w:ascii="Times New Roman" w:hAnsi="Times New Roman" w:cs="Times New Roman"/>
          <w:sz w:val="24"/>
        </w:rPr>
        <w:t>Winker H, Carvalho F, Kapur, M.</w:t>
      </w:r>
      <w:r>
        <w:rPr>
          <w:rFonts w:ascii="Times New Roman" w:hAnsi="Times New Roman" w:cs="Times New Roman" w:hint="eastAsia"/>
          <w:sz w:val="24"/>
        </w:rPr>
        <w:t xml:space="preserve"> </w:t>
      </w:r>
      <w:r>
        <w:rPr>
          <w:rFonts w:ascii="Times New Roman" w:hAnsi="Times New Roman" w:cs="Times New Roman"/>
          <w:sz w:val="24"/>
        </w:rPr>
        <w:t>2018. JABBA</w:t>
      </w:r>
      <w:r>
        <w:rPr>
          <w:rFonts w:ascii="Times New Roman" w:hAnsi="Times New Roman" w:cs="Times New Roman" w:hint="eastAsia"/>
          <w:sz w:val="24"/>
        </w:rPr>
        <w:t>:</w:t>
      </w:r>
      <w:r>
        <w:rPr>
          <w:rFonts w:ascii="Times New Roman" w:hAnsi="Times New Roman" w:cs="Times New Roman"/>
          <w:sz w:val="24"/>
        </w:rPr>
        <w:t xml:space="preserve"> Just Another Bayesian Biomass Assessment. Fisheries Research, 204</w:t>
      </w:r>
      <w:r>
        <w:rPr>
          <w:rFonts w:ascii="Times New Roman" w:hAnsi="Times New Roman" w:cs="Times New Roman" w:hint="eastAsia"/>
          <w:sz w:val="24"/>
        </w:rPr>
        <w:t xml:space="preserve">: </w:t>
      </w:r>
      <w:r>
        <w:rPr>
          <w:rFonts w:ascii="Times New Roman" w:hAnsi="Times New Roman" w:cs="Times New Roman"/>
          <w:sz w:val="24"/>
        </w:rPr>
        <w:t>275-288.</w:t>
      </w:r>
    </w:p>
    <w:p w14:paraId="60A72981" w14:textId="77777777" w:rsidR="00E86DF3" w:rsidRDefault="00982083">
      <w:pPr>
        <w:spacing w:line="276" w:lineRule="auto"/>
        <w:ind w:left="480" w:hangingChars="200" w:hanging="480"/>
        <w:rPr>
          <w:rFonts w:ascii="Times New Roman" w:hAnsi="Times New Roman" w:cs="Times New Roman"/>
          <w:sz w:val="24"/>
        </w:rPr>
      </w:pPr>
      <w:r>
        <w:rPr>
          <w:rFonts w:ascii="Times New Roman" w:hAnsi="Times New Roman" w:cs="Times New Roman"/>
          <w:sz w:val="24"/>
        </w:rPr>
        <w:t>Pella, J</w:t>
      </w:r>
      <w:r>
        <w:rPr>
          <w:rFonts w:ascii="Times New Roman" w:hAnsi="Times New Roman" w:cs="Times New Roman" w:hint="eastAsia"/>
          <w:sz w:val="24"/>
        </w:rPr>
        <w:t xml:space="preserve"> </w:t>
      </w:r>
      <w:proofErr w:type="spellStart"/>
      <w:r>
        <w:rPr>
          <w:rFonts w:ascii="Times New Roman" w:hAnsi="Times New Roman" w:cs="Times New Roman"/>
          <w:sz w:val="24"/>
        </w:rPr>
        <w:t>J</w:t>
      </w:r>
      <w:proofErr w:type="spellEnd"/>
      <w:r>
        <w:rPr>
          <w:rFonts w:ascii="Times New Roman" w:hAnsi="Times New Roman" w:cs="Times New Roman" w:hint="eastAsia"/>
          <w:sz w:val="24"/>
        </w:rPr>
        <w:t>,</w:t>
      </w:r>
      <w:r>
        <w:rPr>
          <w:rFonts w:ascii="Times New Roman" w:hAnsi="Times New Roman" w:cs="Times New Roman"/>
          <w:sz w:val="24"/>
        </w:rPr>
        <w:t xml:space="preserve"> Tomlinson P</w:t>
      </w:r>
      <w:r>
        <w:rPr>
          <w:rFonts w:ascii="Times New Roman" w:hAnsi="Times New Roman" w:cs="Times New Roman" w:hint="eastAsia"/>
          <w:sz w:val="24"/>
        </w:rPr>
        <w:t xml:space="preserve"> </w:t>
      </w:r>
      <w:r>
        <w:rPr>
          <w:rFonts w:ascii="Times New Roman" w:hAnsi="Times New Roman" w:cs="Times New Roman"/>
          <w:sz w:val="24"/>
        </w:rPr>
        <w:t>K. 1969</w:t>
      </w:r>
      <w:r>
        <w:rPr>
          <w:rFonts w:ascii="Times New Roman" w:hAnsi="Times New Roman" w:cs="Times New Roman" w:hint="eastAsia"/>
          <w:sz w:val="24"/>
        </w:rPr>
        <w:t>.</w:t>
      </w:r>
      <w:r>
        <w:rPr>
          <w:rFonts w:ascii="Times New Roman" w:hAnsi="Times New Roman" w:cs="Times New Roman"/>
          <w:sz w:val="24"/>
        </w:rPr>
        <w:t xml:space="preserve"> A generalized stock production model. Bulletin of the Inter-American Tropical Tuna Commission</w:t>
      </w:r>
      <w:r>
        <w:rPr>
          <w:rFonts w:ascii="Times New Roman" w:hAnsi="Times New Roman" w:cs="Times New Roman" w:hint="eastAsia"/>
          <w:sz w:val="24"/>
        </w:rPr>
        <w:t>,</w:t>
      </w:r>
      <w:r>
        <w:rPr>
          <w:rFonts w:ascii="Times New Roman" w:hAnsi="Times New Roman" w:cs="Times New Roman"/>
          <w:sz w:val="24"/>
        </w:rPr>
        <w:t xml:space="preserve"> 13: 421–458.</w:t>
      </w:r>
    </w:p>
    <w:p w14:paraId="60A72982" w14:textId="77777777" w:rsidR="00E86DF3" w:rsidRDefault="00982083">
      <w:pPr>
        <w:spacing w:line="276" w:lineRule="auto"/>
        <w:ind w:left="480" w:hangingChars="200" w:hanging="480"/>
        <w:rPr>
          <w:lang w:val="fr-FR"/>
        </w:rPr>
      </w:pPr>
      <w:r>
        <w:rPr>
          <w:rFonts w:ascii="Times New Roman" w:hAnsi="Times New Roman" w:cs="Times New Roman"/>
          <w:sz w:val="24"/>
        </w:rPr>
        <w:t>Wang, J</w:t>
      </w:r>
      <w:r>
        <w:rPr>
          <w:rFonts w:ascii="Times New Roman" w:hAnsi="Times New Roman" w:cs="Times New Roman" w:hint="eastAsia"/>
          <w:sz w:val="24"/>
        </w:rPr>
        <w:t xml:space="preserve"> T</w:t>
      </w:r>
      <w:r>
        <w:rPr>
          <w:rFonts w:ascii="Times New Roman" w:hAnsi="Times New Roman" w:cs="Times New Roman"/>
          <w:sz w:val="24"/>
        </w:rPr>
        <w:t>, Yu, W, Chen X</w:t>
      </w:r>
      <w:r>
        <w:rPr>
          <w:rFonts w:ascii="Times New Roman" w:hAnsi="Times New Roman" w:cs="Times New Roman" w:hint="eastAsia"/>
          <w:sz w:val="24"/>
        </w:rPr>
        <w:t xml:space="preserve"> J</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Chen, Y. 2016. Stock assessment for the western winter-spring cohort of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xml:space="preserve">) using environmentally dependent surplus production models. </w:t>
      </w:r>
      <w:proofErr w:type="spellStart"/>
      <w:r>
        <w:rPr>
          <w:rFonts w:ascii="Times New Roman" w:hAnsi="Times New Roman" w:cs="Times New Roman"/>
          <w:sz w:val="24"/>
          <w:lang w:val="fr-FR"/>
        </w:rPr>
        <w:t>Scientia</w:t>
      </w:r>
      <w:proofErr w:type="spellEnd"/>
      <w:r>
        <w:rPr>
          <w:rFonts w:ascii="Times New Roman" w:hAnsi="Times New Roman" w:cs="Times New Roman"/>
          <w:sz w:val="24"/>
          <w:lang w:val="fr-FR"/>
        </w:rPr>
        <w:t xml:space="preserve"> Marina, 80(1</w:t>
      </w:r>
      <w:proofErr w:type="gramStart"/>
      <w:r>
        <w:rPr>
          <w:rFonts w:ascii="Times New Roman" w:hAnsi="Times New Roman" w:cs="Times New Roman"/>
          <w:sz w:val="24"/>
          <w:lang w:val="fr-FR"/>
        </w:rPr>
        <w:t>)</w:t>
      </w:r>
      <w:r>
        <w:rPr>
          <w:rFonts w:ascii="Times New Roman" w:hAnsi="Times New Roman" w:cs="Times New Roman" w:hint="eastAsia"/>
          <w:sz w:val="24"/>
          <w:lang w:val="fr-FR"/>
        </w:rPr>
        <w:t>:</w:t>
      </w:r>
      <w:proofErr w:type="gramEnd"/>
      <w:r>
        <w:rPr>
          <w:rFonts w:ascii="Times New Roman" w:hAnsi="Times New Roman" w:cs="Times New Roman" w:hint="eastAsia"/>
          <w:sz w:val="24"/>
          <w:lang w:val="fr-FR"/>
        </w:rPr>
        <w:t xml:space="preserve"> </w:t>
      </w:r>
      <w:r>
        <w:rPr>
          <w:rFonts w:ascii="Times New Roman" w:hAnsi="Times New Roman" w:cs="Times New Roman"/>
          <w:sz w:val="24"/>
          <w:lang w:val="fr-FR"/>
        </w:rPr>
        <w:t>69-78.</w:t>
      </w:r>
    </w:p>
    <w:p w14:paraId="60A72983" w14:textId="77777777" w:rsidR="00E86DF3" w:rsidRDefault="00982083">
      <w:pPr>
        <w:spacing w:line="276" w:lineRule="auto"/>
        <w:ind w:left="480" w:hangingChars="200" w:hanging="480"/>
        <w:rPr>
          <w:rFonts w:ascii="Times New Roman" w:hAnsi="Times New Roman" w:cs="Times New Roman"/>
          <w:sz w:val="24"/>
        </w:rPr>
      </w:pPr>
      <w:proofErr w:type="spellStart"/>
      <w:r>
        <w:rPr>
          <w:rFonts w:ascii="Times New Roman" w:hAnsi="Times New Roman" w:cs="Times New Roman"/>
          <w:sz w:val="24"/>
          <w:lang w:val="fr-FR"/>
        </w:rPr>
        <w:t>Ichii</w:t>
      </w:r>
      <w:proofErr w:type="spellEnd"/>
      <w:r>
        <w:rPr>
          <w:rFonts w:ascii="Times New Roman" w:hAnsi="Times New Roman" w:cs="Times New Roman"/>
          <w:sz w:val="24"/>
          <w:lang w:val="fr-FR"/>
        </w:rPr>
        <w:t xml:space="preserve"> T, Mahapatra, K, Okamura, H</w:t>
      </w:r>
      <w:r>
        <w:rPr>
          <w:rFonts w:ascii="Times New Roman" w:hAnsi="Times New Roman" w:cs="Times New Roman" w:hint="eastAsia"/>
          <w:sz w:val="24"/>
          <w:lang w:val="fr-FR"/>
        </w:rPr>
        <w:t xml:space="preserve"> et al</w:t>
      </w:r>
      <w:r>
        <w:rPr>
          <w:rFonts w:ascii="Times New Roman" w:hAnsi="Times New Roman" w:cs="Times New Roman"/>
          <w:sz w:val="24"/>
          <w:lang w:val="fr-FR"/>
        </w:rPr>
        <w:t>. 2006</w:t>
      </w:r>
      <w:r>
        <w:rPr>
          <w:rFonts w:ascii="Times New Roman" w:hAnsi="Times New Roman" w:cs="Times New Roman" w:hint="eastAsia"/>
          <w:sz w:val="24"/>
          <w:lang w:val="fr-FR"/>
        </w:rPr>
        <w:t xml:space="preserve">. </w:t>
      </w:r>
      <w:r>
        <w:rPr>
          <w:rFonts w:ascii="Times New Roman" w:hAnsi="Times New Roman" w:cs="Times New Roman"/>
          <w:sz w:val="24"/>
        </w:rPr>
        <w:t>Stock assessment of the autumn cohort of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in the North Pacific based on past large-scale high seas driftnet fishery data. Fisheries Research, 78: 286–297.</w:t>
      </w:r>
    </w:p>
    <w:p w14:paraId="60A72984" w14:textId="77777777" w:rsidR="00E86DF3" w:rsidRDefault="00982083">
      <w:pPr>
        <w:spacing w:line="276" w:lineRule="auto"/>
        <w:ind w:left="480" w:hangingChars="200" w:hanging="480"/>
        <w:rPr>
          <w:rFonts w:ascii="Times New Roman" w:hAnsi="Times New Roman" w:cs="Times New Roman"/>
          <w:sz w:val="24"/>
        </w:rPr>
      </w:pPr>
      <w:r>
        <w:rPr>
          <w:rFonts w:ascii="Times New Roman" w:hAnsi="Times New Roman" w:cs="Times New Roman"/>
          <w:sz w:val="24"/>
        </w:rPr>
        <w:t>Mohn, R. 1999. The retrospective problem in sequential population analysis: An investigation using cod fishery and simulated data. ICES J. Mar. Sci. 56, 473-488.</w:t>
      </w:r>
    </w:p>
    <w:p w14:paraId="60A72985" w14:textId="77777777" w:rsidR="00E86DF3" w:rsidRDefault="00E86DF3">
      <w:pPr>
        <w:spacing w:line="276" w:lineRule="auto"/>
        <w:rPr>
          <w:rFonts w:ascii="Times New Roman" w:eastAsia="Segoe UI" w:hAnsi="Times New Roman" w:cs="Times New Roman"/>
          <w:sz w:val="24"/>
          <w:shd w:val="clear" w:color="auto" w:fill="FFFFFF"/>
        </w:rPr>
      </w:pPr>
    </w:p>
    <w:p w14:paraId="60A72986" w14:textId="77777777" w:rsidR="00E86DF3" w:rsidRDefault="00E86DF3">
      <w:pPr>
        <w:spacing w:line="276" w:lineRule="auto"/>
        <w:rPr>
          <w:rFonts w:ascii="Times New Roman" w:eastAsia="Segoe UI" w:hAnsi="Times New Roman" w:cs="Times New Roman"/>
          <w:sz w:val="24"/>
          <w:shd w:val="clear" w:color="auto" w:fill="FFFFFF"/>
        </w:rPr>
      </w:pPr>
    </w:p>
    <w:p w14:paraId="60A72987" w14:textId="77777777" w:rsidR="00E86DF3" w:rsidRDefault="00E86DF3">
      <w:pPr>
        <w:spacing w:line="276" w:lineRule="auto"/>
        <w:rPr>
          <w:rFonts w:ascii="Times New Roman" w:eastAsia="Segoe UI" w:hAnsi="Times New Roman" w:cs="Times New Roman"/>
          <w:sz w:val="24"/>
          <w:shd w:val="clear" w:color="auto" w:fill="FFFFFF"/>
        </w:rPr>
      </w:pPr>
    </w:p>
    <w:p w14:paraId="60A72988" w14:textId="77777777" w:rsidR="00E86DF3" w:rsidRDefault="00E86DF3">
      <w:pPr>
        <w:spacing w:line="276" w:lineRule="auto"/>
        <w:rPr>
          <w:rFonts w:ascii="Times New Roman" w:eastAsia="Segoe UI" w:hAnsi="Times New Roman" w:cs="Times New Roman"/>
          <w:sz w:val="24"/>
          <w:shd w:val="clear" w:color="auto" w:fill="FFFFFF"/>
        </w:rPr>
      </w:pPr>
    </w:p>
    <w:p w14:paraId="60A72989" w14:textId="77777777" w:rsidR="00E86DF3" w:rsidRDefault="00E86DF3">
      <w:pPr>
        <w:spacing w:line="276" w:lineRule="auto"/>
        <w:rPr>
          <w:rFonts w:ascii="Times New Roman" w:eastAsia="Segoe UI" w:hAnsi="Times New Roman" w:cs="Times New Roman"/>
          <w:sz w:val="24"/>
          <w:shd w:val="clear" w:color="auto" w:fill="FFFFFF"/>
        </w:rPr>
      </w:pPr>
    </w:p>
    <w:p w14:paraId="60A7298A" w14:textId="77777777" w:rsidR="00E86DF3" w:rsidRDefault="00E86DF3">
      <w:pPr>
        <w:spacing w:line="276" w:lineRule="auto"/>
        <w:rPr>
          <w:rFonts w:ascii="Times New Roman" w:eastAsia="Segoe UI" w:hAnsi="Times New Roman" w:cs="Times New Roman"/>
          <w:sz w:val="24"/>
          <w:shd w:val="clear" w:color="auto" w:fill="FFFFFF"/>
        </w:rPr>
      </w:pPr>
    </w:p>
    <w:p w14:paraId="60A7298B" w14:textId="77777777" w:rsidR="00E86DF3" w:rsidRDefault="00E86DF3">
      <w:pPr>
        <w:rPr>
          <w:rFonts w:ascii="Times New Roman" w:hAnsi="Times New Roman" w:cs="Times New Roman"/>
          <w:b/>
          <w:bCs/>
          <w:sz w:val="28"/>
          <w:szCs w:val="28"/>
        </w:rPr>
      </w:pPr>
    </w:p>
    <w:p w14:paraId="60A7298C" w14:textId="77777777" w:rsidR="00E86DF3" w:rsidRDefault="00982083">
      <w:pPr>
        <w:rPr>
          <w:rFonts w:ascii="Times New Roman" w:hAnsi="Times New Roman" w:cs="Times New Roman"/>
          <w:b/>
          <w:bCs/>
          <w:sz w:val="28"/>
          <w:szCs w:val="28"/>
        </w:rPr>
      </w:pPr>
      <w:r>
        <w:rPr>
          <w:rFonts w:ascii="Times New Roman" w:hAnsi="Times New Roman" w:cs="Times New Roman"/>
          <w:b/>
          <w:bCs/>
          <w:sz w:val="28"/>
          <w:szCs w:val="28"/>
        </w:rPr>
        <w:t>APPENDICES</w:t>
      </w:r>
    </w:p>
    <w:p w14:paraId="60A7298D" w14:textId="77777777" w:rsidR="00E86DF3" w:rsidRDefault="00982083">
      <w:pPr>
        <w:rPr>
          <w:rFonts w:ascii="Times New Roman" w:hAnsi="Times New Roman" w:cs="Times New Roman"/>
        </w:rPr>
      </w:pPr>
      <w:r>
        <w:rPr>
          <w:rFonts w:ascii="Times New Roman" w:hAnsi="Times New Roman" w:cs="Times New Roman"/>
        </w:rPr>
        <w:t xml:space="preserve">Appendix1. Checklist for the </w:t>
      </w:r>
      <w:r>
        <w:rPr>
          <w:rFonts w:ascii="Times New Roman" w:hAnsi="Times New Roman" w:cs="Times New Roman"/>
          <w:szCs w:val="21"/>
        </w:rPr>
        <w:t xml:space="preserve">Stock assessment </w:t>
      </w:r>
      <w:r>
        <w:rPr>
          <w:rFonts w:ascii="Times New Roman" w:hAnsi="Times New Roman" w:cs="Times New Roman"/>
        </w:rPr>
        <w:t>protocol</w:t>
      </w:r>
    </w:p>
    <w:tbl>
      <w:tblPr>
        <w:tblW w:w="4854" w:type="pct"/>
        <w:jc w:val="center"/>
        <w:tblCellMar>
          <w:top w:w="15" w:type="dxa"/>
          <w:left w:w="15" w:type="dxa"/>
          <w:bottom w:w="15" w:type="dxa"/>
          <w:right w:w="15" w:type="dxa"/>
        </w:tblCellMar>
        <w:tblLook w:val="04A0" w:firstRow="1" w:lastRow="0" w:firstColumn="1" w:lastColumn="0" w:noHBand="0" w:noVBand="1"/>
      </w:tblPr>
      <w:tblGrid>
        <w:gridCol w:w="630"/>
        <w:gridCol w:w="5538"/>
        <w:gridCol w:w="1895"/>
      </w:tblGrid>
      <w:tr w:rsidR="00E86DF3" w14:paraId="60A72991" w14:textId="77777777">
        <w:trPr>
          <w:trHeight w:val="510"/>
          <w:jc w:val="center"/>
        </w:trPr>
        <w:tc>
          <w:tcPr>
            <w:tcW w:w="390" w:type="pct"/>
            <w:tcBorders>
              <w:top w:val="single" w:sz="12" w:space="0" w:color="000000"/>
              <w:left w:val="nil"/>
              <w:bottom w:val="single" w:sz="4" w:space="0" w:color="000000"/>
              <w:right w:val="nil"/>
              <w:tl2br w:val="nil"/>
            </w:tcBorders>
            <w:shd w:val="clear" w:color="auto" w:fill="FFFFFF"/>
            <w:tcMar>
              <w:top w:w="96" w:type="dxa"/>
              <w:left w:w="96" w:type="dxa"/>
              <w:bottom w:w="96" w:type="dxa"/>
              <w:right w:w="96" w:type="dxa"/>
            </w:tcMar>
            <w:vAlign w:val="center"/>
          </w:tcPr>
          <w:p w14:paraId="60A7298E"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1</w:t>
            </w:r>
          </w:p>
        </w:tc>
        <w:tc>
          <w:tcPr>
            <w:tcW w:w="3433" w:type="pct"/>
            <w:tcBorders>
              <w:top w:val="single" w:sz="12" w:space="0" w:color="000000"/>
              <w:left w:val="nil"/>
              <w:bottom w:val="single" w:sz="4" w:space="0" w:color="000000"/>
              <w:right w:val="nil"/>
            </w:tcBorders>
            <w:shd w:val="clear" w:color="auto" w:fill="FFFFFF"/>
            <w:tcMar>
              <w:top w:w="96" w:type="dxa"/>
              <w:left w:w="96" w:type="dxa"/>
              <w:bottom w:w="96" w:type="dxa"/>
              <w:right w:w="96" w:type="dxa"/>
            </w:tcMar>
            <w:vAlign w:val="center"/>
          </w:tcPr>
          <w:p w14:paraId="60A7298F"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Identify the data that will be available to the stock assessment</w:t>
            </w:r>
            <w:r>
              <w:rPr>
                <w:rFonts w:ascii="Times New Roman" w:eastAsia="SimSun" w:hAnsi="Times New Roman" w:cs="Times New Roman" w:hint="eastAsia"/>
                <w:color w:val="000000"/>
                <w:kern w:val="0"/>
                <w:szCs w:val="21"/>
                <w:lang w:bidi="ar"/>
              </w:rPr>
              <w:t>.</w:t>
            </w:r>
          </w:p>
        </w:tc>
        <w:tc>
          <w:tcPr>
            <w:tcW w:w="1175" w:type="pct"/>
            <w:tcBorders>
              <w:top w:val="single" w:sz="12" w:space="0" w:color="000000"/>
              <w:left w:val="nil"/>
              <w:bottom w:val="single" w:sz="4" w:space="0" w:color="000000"/>
              <w:right w:val="nil"/>
            </w:tcBorders>
            <w:shd w:val="clear" w:color="auto" w:fill="FFFFFF"/>
            <w:tcMar>
              <w:top w:w="96" w:type="dxa"/>
              <w:left w:w="96" w:type="dxa"/>
              <w:bottom w:w="96" w:type="dxa"/>
              <w:right w:w="96" w:type="dxa"/>
            </w:tcMar>
            <w:vAlign w:val="center"/>
          </w:tcPr>
          <w:p w14:paraId="60A72990" w14:textId="77777777" w:rsidR="00E86DF3" w:rsidRDefault="00982083">
            <w:pPr>
              <w:jc w:val="center"/>
              <w:rPr>
                <w:rFonts w:ascii="Times New Roman" w:eastAsia="SimSu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2.1</w:t>
            </w:r>
            <w:r>
              <w:rPr>
                <w:rFonts w:ascii="Times New Roman" w:eastAsia="SimSun" w:hAnsi="Times New Roman" w:cs="Times New Roman"/>
                <w:color w:val="000000"/>
                <w:szCs w:val="21"/>
                <w:shd w:val="clear" w:color="auto" w:fill="FFFFFF"/>
              </w:rPr>
              <w:t>)</w:t>
            </w:r>
          </w:p>
        </w:tc>
      </w:tr>
      <w:tr w:rsidR="00E86DF3" w14:paraId="60A72996" w14:textId="77777777">
        <w:trPr>
          <w:jc w:val="center"/>
        </w:trPr>
        <w:tc>
          <w:tcPr>
            <w:tcW w:w="390" w:type="pct"/>
            <w:tcBorders>
              <w:top w:val="single" w:sz="4" w:space="0" w:color="000000"/>
              <w:left w:val="nil"/>
              <w:bottom w:val="nil"/>
              <w:right w:val="nil"/>
            </w:tcBorders>
            <w:shd w:val="clear" w:color="auto" w:fill="FFFFFF"/>
            <w:tcMar>
              <w:top w:w="96" w:type="dxa"/>
              <w:left w:w="96" w:type="dxa"/>
              <w:bottom w:w="96" w:type="dxa"/>
              <w:right w:w="96" w:type="dxa"/>
            </w:tcMar>
            <w:vAlign w:val="center"/>
          </w:tcPr>
          <w:p w14:paraId="60A72992"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2</w:t>
            </w:r>
          </w:p>
        </w:tc>
        <w:tc>
          <w:tcPr>
            <w:tcW w:w="3433" w:type="pct"/>
            <w:tcBorders>
              <w:top w:val="single" w:sz="4" w:space="0" w:color="000000"/>
              <w:left w:val="nil"/>
              <w:bottom w:val="nil"/>
              <w:right w:val="nil"/>
            </w:tcBorders>
            <w:shd w:val="clear" w:color="auto" w:fill="FFFFFF"/>
            <w:tcMar>
              <w:top w:w="96" w:type="dxa"/>
              <w:left w:w="96" w:type="dxa"/>
              <w:bottom w:w="96" w:type="dxa"/>
              <w:right w:w="96" w:type="dxa"/>
            </w:tcMar>
            <w:vAlign w:val="center"/>
          </w:tcPr>
          <w:p w14:paraId="60A72993" w14:textId="77777777" w:rsidR="00E86DF3" w:rsidRDefault="00982083">
            <w:pPr>
              <w:widowControl/>
              <w:jc w:val="center"/>
              <w:rPr>
                <w:color w:val="000000"/>
                <w:szCs w:val="21"/>
              </w:rPr>
            </w:pPr>
            <w:r>
              <w:rPr>
                <w:rFonts w:ascii="Times New Roman" w:eastAsia="SimSun" w:hAnsi="Times New Roman" w:cs="Times New Roman"/>
                <w:color w:val="000000"/>
                <w:kern w:val="0"/>
                <w:szCs w:val="21"/>
                <w:lang w:bidi="ar"/>
              </w:rPr>
              <w:t>Evaluate data quality and quantity and potential error sources (e.g., sampling errors,</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measurement errors, and associated statistical property (e.g., biased or random errors, statistical</w:t>
            </w:r>
          </w:p>
          <w:p w14:paraId="60A72994"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lastRenderedPageBreak/>
              <w:t>distribution) to ensure that the best available information is used in the assessment</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nil"/>
              <w:right w:val="nil"/>
            </w:tcBorders>
            <w:shd w:val="clear" w:color="auto" w:fill="FFFFFF"/>
            <w:tcMar>
              <w:top w:w="96" w:type="dxa"/>
              <w:left w:w="96" w:type="dxa"/>
              <w:bottom w:w="96" w:type="dxa"/>
              <w:right w:w="96" w:type="dxa"/>
            </w:tcMar>
            <w:vAlign w:val="center"/>
          </w:tcPr>
          <w:p w14:paraId="60A72995"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lastRenderedPageBreak/>
              <w:t>Yes (</w:t>
            </w:r>
            <w:r>
              <w:rPr>
                <w:rFonts w:ascii="Times New Roman" w:eastAsia="Segoe UI" w:hAnsi="Times New Roman" w:cs="Times New Roman"/>
                <w:color w:val="000000"/>
                <w:szCs w:val="21"/>
                <w:shd w:val="clear" w:color="auto" w:fill="FFFFFF"/>
              </w:rPr>
              <w:t>Section 2.1</w:t>
            </w:r>
            <w:r>
              <w:rPr>
                <w:rFonts w:ascii="Times New Roman" w:hAnsi="Times New Roman" w:cs="Times New Roman"/>
                <w:color w:val="000000"/>
                <w:szCs w:val="21"/>
              </w:rPr>
              <w:t>)</w:t>
            </w:r>
          </w:p>
        </w:tc>
      </w:tr>
      <w:tr w:rsidR="00E86DF3" w14:paraId="60A7299A" w14:textId="77777777">
        <w:trPr>
          <w:trHeight w:val="510"/>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97"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3</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98"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Select population models describing the dynamics of the stock and observational models linking</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population variables with the observed variables</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99"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w:t>
            </w:r>
            <w:r>
              <w:rPr>
                <w:rFonts w:ascii="Times New Roman" w:eastAsia="SimSun" w:hAnsi="Times New Roman" w:cs="Times New Roman" w:hint="eastAsia"/>
                <w:color w:val="000000"/>
                <w:szCs w:val="21"/>
                <w:shd w:val="clear" w:color="auto" w:fill="FFFFFF"/>
              </w:rPr>
              <w:t xml:space="preserve">2, </w:t>
            </w:r>
            <w:r>
              <w:rPr>
                <w:rFonts w:ascii="Times New Roman" w:eastAsia="Segoe UI" w:hAnsi="Times New Roman" w:cs="Times New Roman"/>
                <w:color w:val="000000"/>
                <w:szCs w:val="21"/>
                <w:shd w:val="clear" w:color="auto" w:fill="FFFFFF"/>
              </w:rPr>
              <w:t>Paragraph 1-</w:t>
            </w:r>
            <w:r>
              <w:rPr>
                <w:rFonts w:ascii="Times New Roman" w:eastAsia="SimSun" w:hAnsi="Times New Roman" w:cs="Times New Roman" w:hint="eastAsia"/>
                <w:color w:val="000000"/>
                <w:szCs w:val="21"/>
                <w:shd w:val="clear" w:color="auto" w:fill="FFFFFF"/>
              </w:rPr>
              <w:t>4</w:t>
            </w:r>
            <w:r>
              <w:rPr>
                <w:rFonts w:ascii="Times New Roman" w:hAnsi="Times New Roman" w:cs="Times New Roman"/>
                <w:color w:val="000000"/>
                <w:szCs w:val="21"/>
              </w:rPr>
              <w:t>)</w:t>
            </w:r>
          </w:p>
        </w:tc>
      </w:tr>
      <w:tr w:rsidR="00E86DF3" w14:paraId="60A7299E" w14:textId="77777777">
        <w:trPr>
          <w:trHeight w:val="510"/>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9B"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4</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9C"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Develop base case scenarios and alternative scenarios for sensitivity analyses</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9D"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w:t>
            </w:r>
            <w:r>
              <w:rPr>
                <w:rFonts w:ascii="Times New Roman" w:eastAsia="SimSun" w:hAnsi="Times New Roman" w:cs="Times New Roman" w:hint="eastAsia"/>
                <w:color w:val="000000"/>
                <w:szCs w:val="21"/>
                <w:shd w:val="clear" w:color="auto" w:fill="FFFFFF"/>
              </w:rPr>
              <w:t xml:space="preserve">2, </w:t>
            </w:r>
            <w:r>
              <w:rPr>
                <w:rFonts w:ascii="Times New Roman" w:eastAsia="Segoe UI" w:hAnsi="Times New Roman" w:cs="Times New Roman"/>
                <w:color w:val="000000"/>
                <w:szCs w:val="21"/>
                <w:shd w:val="clear" w:color="auto" w:fill="FFFFFF"/>
              </w:rPr>
              <w:t xml:space="preserve">Paragraph </w:t>
            </w:r>
            <w:r>
              <w:rPr>
                <w:rFonts w:ascii="Times New Roman" w:eastAsia="SimSun" w:hAnsi="Times New Roman" w:cs="Times New Roman" w:hint="eastAsia"/>
                <w:color w:val="000000"/>
                <w:szCs w:val="21"/>
                <w:shd w:val="clear" w:color="auto" w:fill="FFFFFF"/>
              </w:rPr>
              <w:t>5</w:t>
            </w:r>
            <w:r>
              <w:rPr>
                <w:rFonts w:ascii="Times New Roman" w:eastAsia="Segoe UI" w:hAnsi="Times New Roman" w:cs="Times New Roman"/>
                <w:color w:val="000000"/>
                <w:szCs w:val="21"/>
                <w:shd w:val="clear" w:color="auto" w:fill="FFFFFF"/>
              </w:rPr>
              <w:t>-</w:t>
            </w:r>
            <w:r>
              <w:rPr>
                <w:rFonts w:ascii="Times New Roman" w:eastAsia="SimSun" w:hAnsi="Times New Roman" w:cs="Times New Roman" w:hint="eastAsia"/>
                <w:color w:val="000000"/>
                <w:szCs w:val="21"/>
                <w:shd w:val="clear" w:color="auto" w:fill="FFFFFF"/>
              </w:rPr>
              <w:t>6</w:t>
            </w:r>
            <w:r>
              <w:rPr>
                <w:rFonts w:ascii="Times New Roman" w:hAnsi="Times New Roman" w:cs="Times New Roman"/>
                <w:color w:val="000000"/>
                <w:szCs w:val="21"/>
              </w:rPr>
              <w:t>)</w:t>
            </w:r>
          </w:p>
        </w:tc>
      </w:tr>
      <w:tr w:rsidR="00E86DF3" w14:paraId="60A729A3" w14:textId="77777777">
        <w:trPr>
          <w:trHeight w:val="510"/>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9F"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5</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A0"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 each scenario, fit the model to the data, diagnostics of model convergence, plot and evaluate residual patterns, and evaluate biological implications of the estimated parameters</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A1" w14:textId="77777777" w:rsidR="00E86DF3" w:rsidRDefault="00982083">
            <w:pPr>
              <w:jc w:val="center"/>
              <w:rPr>
                <w:rFonts w:ascii="Times New Roman" w:eastAsia="SimSun" w:hAnsi="Times New Roman" w:cs="Times New Roman"/>
                <w:color w:val="000000"/>
                <w:szCs w:val="21"/>
                <w:shd w:val="clear" w:color="auto" w:fill="FFFFFF"/>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Fig. 4-</w:t>
            </w:r>
            <w:r>
              <w:rPr>
                <w:rFonts w:ascii="Times New Roman" w:eastAsia="SimSun" w:hAnsi="Times New Roman" w:cs="Times New Roman" w:hint="eastAsia"/>
                <w:color w:val="000000"/>
                <w:szCs w:val="21"/>
                <w:shd w:val="clear" w:color="auto" w:fill="FFFFFF"/>
              </w:rPr>
              <w:t>7,</w:t>
            </w:r>
          </w:p>
          <w:p w14:paraId="60A729A2"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 xml:space="preserve">Table </w:t>
            </w:r>
            <w:r>
              <w:rPr>
                <w:rFonts w:ascii="Times New Roman" w:eastAsia="SimSun" w:hAnsi="Times New Roman" w:cs="Times New Roman" w:hint="eastAsia"/>
                <w:color w:val="000000"/>
                <w:szCs w:val="21"/>
                <w:shd w:val="clear" w:color="auto" w:fill="FFFFFF"/>
              </w:rPr>
              <w:t>1</w:t>
            </w:r>
            <w:r>
              <w:rPr>
                <w:rFonts w:ascii="Times New Roman" w:hAnsi="Times New Roman" w:cs="Times New Roman"/>
                <w:color w:val="000000"/>
                <w:szCs w:val="21"/>
              </w:rPr>
              <w:t>)</w:t>
            </w:r>
          </w:p>
        </w:tc>
      </w:tr>
      <w:tr w:rsidR="00E86DF3" w14:paraId="60A729A7" w14:textId="77777777">
        <w:trPr>
          <w:trHeight w:val="510"/>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A4"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6</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A5"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Develop retrospective analysis to verify whether any possible systematic inconsistencies exist among model estimates of biomass and fishing mortality</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A6"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 xml:space="preserve">Fig. </w:t>
            </w:r>
            <w:r>
              <w:rPr>
                <w:rFonts w:ascii="Times New Roman" w:eastAsia="SimSun" w:hAnsi="Times New Roman" w:cs="Times New Roman" w:hint="eastAsia"/>
                <w:color w:val="000000"/>
                <w:szCs w:val="21"/>
                <w:shd w:val="clear" w:color="auto" w:fill="FFFFFF"/>
              </w:rPr>
              <w:t>11</w:t>
            </w:r>
            <w:r>
              <w:rPr>
                <w:rFonts w:ascii="Times New Roman" w:hAnsi="Times New Roman" w:cs="Times New Roman"/>
                <w:color w:val="000000"/>
                <w:szCs w:val="21"/>
              </w:rPr>
              <w:t>)</w:t>
            </w:r>
          </w:p>
        </w:tc>
      </w:tr>
      <w:tr w:rsidR="00E86DF3" w14:paraId="60A729AB" w14:textId="77777777">
        <w:trPr>
          <w:trHeight w:val="510"/>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A8"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7</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A9"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 each scenario, estimate and plot exploitable stock biomass and fishing mortality (and their relevant</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credibility distributions) over time</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AA"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 xml:space="preserve">Fig. </w:t>
            </w:r>
            <w:r>
              <w:rPr>
                <w:rFonts w:ascii="Times New Roman" w:eastAsia="SimSun" w:hAnsi="Times New Roman" w:cs="Times New Roman" w:hint="eastAsia"/>
                <w:color w:val="000000"/>
                <w:szCs w:val="21"/>
                <w:shd w:val="clear" w:color="auto" w:fill="FFFFFF"/>
              </w:rPr>
              <w:t>8-10</w:t>
            </w:r>
            <w:r>
              <w:rPr>
                <w:rFonts w:ascii="Times New Roman" w:hAnsi="Times New Roman" w:cs="Times New Roman"/>
                <w:color w:val="000000"/>
                <w:szCs w:val="21"/>
              </w:rPr>
              <w:t>)</w:t>
            </w:r>
          </w:p>
        </w:tc>
      </w:tr>
      <w:tr w:rsidR="00E86DF3" w14:paraId="60A729AF" w14:textId="77777777">
        <w:trPr>
          <w:trHeight w:val="510"/>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AC"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8</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AD"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 each scenario, estimate biological reference points (e.g., MSY, B</w:t>
            </w:r>
            <w:r>
              <w:rPr>
                <w:rFonts w:ascii="Times New Roman" w:eastAsia="SimSun" w:hAnsi="Times New Roman" w:cs="Times New Roman"/>
                <w:color w:val="000000"/>
                <w:kern w:val="0"/>
                <w:szCs w:val="21"/>
                <w:vertAlign w:val="subscript"/>
                <w:lang w:bidi="ar"/>
              </w:rPr>
              <w:t>MSY</w:t>
            </w:r>
            <w:r>
              <w:rPr>
                <w:rFonts w:ascii="Times New Roman" w:eastAsia="SimSun" w:hAnsi="Times New Roman" w:cs="Times New Roman"/>
                <w:color w:val="000000"/>
                <w:kern w:val="0"/>
                <w:szCs w:val="21"/>
                <w:lang w:bidi="ar"/>
              </w:rPr>
              <w:t>, F</w:t>
            </w:r>
            <w:r>
              <w:rPr>
                <w:rFonts w:ascii="Times New Roman" w:eastAsia="SimSun" w:hAnsi="Times New Roman" w:cs="Times New Roman"/>
                <w:color w:val="000000"/>
                <w:kern w:val="0"/>
                <w:szCs w:val="21"/>
                <w:vertAlign w:val="subscript"/>
                <w:lang w:bidi="ar"/>
              </w:rPr>
              <w:t>MSY</w:t>
            </w:r>
            <w:r>
              <w:rPr>
                <w:rFonts w:ascii="Times New Roman" w:eastAsia="SimSun" w:hAnsi="Times New Roman" w:cs="Times New Roman"/>
                <w:color w:val="000000"/>
                <w:kern w:val="0"/>
                <w:szCs w:val="21"/>
                <w:lang w:bidi="ar"/>
              </w:rPr>
              <w:t>) and its associated uncertainty</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AE"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 xml:space="preserve">Table </w:t>
            </w:r>
            <w:r>
              <w:rPr>
                <w:rFonts w:ascii="Times New Roman" w:eastAsia="SimSun" w:hAnsi="Times New Roman" w:cs="Times New Roman" w:hint="eastAsia"/>
                <w:color w:val="000000"/>
                <w:szCs w:val="21"/>
                <w:shd w:val="clear" w:color="auto" w:fill="FFFFFF"/>
              </w:rPr>
              <w:t>2-4</w:t>
            </w:r>
            <w:r>
              <w:rPr>
                <w:rFonts w:ascii="Times New Roman" w:hAnsi="Times New Roman" w:cs="Times New Roman"/>
                <w:color w:val="000000"/>
                <w:szCs w:val="21"/>
              </w:rPr>
              <w:t>)</w:t>
            </w:r>
          </w:p>
        </w:tc>
      </w:tr>
      <w:tr w:rsidR="00E86DF3" w14:paraId="60A729B3" w14:textId="77777777">
        <w:trPr>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B0"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9</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B1"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Have the Kobe plot for each scenario</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B2"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 xml:space="preserve">Fig. </w:t>
            </w:r>
            <w:r>
              <w:rPr>
                <w:rFonts w:ascii="Times New Roman" w:eastAsia="SimSun" w:hAnsi="Times New Roman" w:cs="Times New Roman" w:hint="eastAsia"/>
                <w:color w:val="000000"/>
                <w:szCs w:val="21"/>
                <w:shd w:val="clear" w:color="auto" w:fill="FFFFFF"/>
              </w:rPr>
              <w:t>13-15</w:t>
            </w:r>
            <w:r>
              <w:rPr>
                <w:rFonts w:ascii="Times New Roman" w:hAnsi="Times New Roman" w:cs="Times New Roman"/>
                <w:color w:val="000000"/>
                <w:szCs w:val="21"/>
              </w:rPr>
              <w:t>)</w:t>
            </w:r>
          </w:p>
        </w:tc>
      </w:tr>
      <w:tr w:rsidR="00E86DF3" w14:paraId="60A729B8" w14:textId="77777777">
        <w:trPr>
          <w:trHeight w:val="510"/>
          <w:jc w:val="center"/>
        </w:trPr>
        <w:tc>
          <w:tcPr>
            <w:tcW w:w="390" w:type="pct"/>
            <w:tcBorders>
              <w:top w:val="nil"/>
              <w:left w:val="nil"/>
              <w:bottom w:val="nil"/>
              <w:right w:val="nil"/>
            </w:tcBorders>
            <w:shd w:val="clear" w:color="auto" w:fill="FFFFFF"/>
            <w:tcMar>
              <w:top w:w="96" w:type="dxa"/>
              <w:left w:w="96" w:type="dxa"/>
              <w:bottom w:w="96" w:type="dxa"/>
              <w:right w:w="96" w:type="dxa"/>
            </w:tcMar>
            <w:vAlign w:val="center"/>
          </w:tcPr>
          <w:p w14:paraId="60A729B4"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10</w:t>
            </w:r>
          </w:p>
        </w:tc>
        <w:tc>
          <w:tcPr>
            <w:tcW w:w="3433" w:type="pct"/>
            <w:tcBorders>
              <w:top w:val="nil"/>
              <w:left w:val="nil"/>
              <w:bottom w:val="nil"/>
              <w:right w:val="nil"/>
            </w:tcBorders>
            <w:shd w:val="clear" w:color="auto" w:fill="FFFFFF"/>
            <w:tcMar>
              <w:top w:w="96" w:type="dxa"/>
              <w:left w:w="96" w:type="dxa"/>
              <w:bottom w:w="96" w:type="dxa"/>
              <w:right w:w="96" w:type="dxa"/>
            </w:tcMar>
            <w:vAlign w:val="center"/>
          </w:tcPr>
          <w:p w14:paraId="60A729B5"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Develop alternative ABCs for the projection (e.g., 2-year projection)</w:t>
            </w:r>
            <w:r>
              <w:rPr>
                <w:rFonts w:ascii="Times New Roman" w:eastAsia="SimSun" w:hAnsi="Times New Roman" w:cs="Times New Roman" w:hint="eastAsia"/>
                <w:color w:val="000000"/>
                <w:kern w:val="0"/>
                <w:szCs w:val="21"/>
                <w:lang w:bidi="ar"/>
              </w:rPr>
              <w:t>.</w:t>
            </w:r>
          </w:p>
        </w:tc>
        <w:tc>
          <w:tcPr>
            <w:tcW w:w="1175" w:type="pct"/>
            <w:tcBorders>
              <w:top w:val="nil"/>
              <w:left w:val="nil"/>
              <w:bottom w:val="nil"/>
              <w:right w:val="nil"/>
            </w:tcBorders>
            <w:shd w:val="clear" w:color="auto" w:fill="FFFFFF"/>
            <w:tcMar>
              <w:top w:w="96" w:type="dxa"/>
              <w:left w:w="96" w:type="dxa"/>
              <w:bottom w:w="96" w:type="dxa"/>
              <w:right w:w="96" w:type="dxa"/>
            </w:tcMar>
            <w:vAlign w:val="center"/>
          </w:tcPr>
          <w:p w14:paraId="60A729B6" w14:textId="77777777" w:rsidR="00E86DF3" w:rsidRDefault="00982083">
            <w:pPr>
              <w:jc w:val="center"/>
              <w:rPr>
                <w:rFonts w:ascii="Times New Roman" w:eastAsia="SimSun" w:hAnsi="Times New Roman" w:cs="Times New Roman"/>
                <w:color w:val="000000"/>
                <w:szCs w:val="21"/>
                <w:shd w:val="clear" w:color="auto" w:fill="FFFFFF"/>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 xml:space="preserve">Table </w:t>
            </w:r>
            <w:r>
              <w:rPr>
                <w:rFonts w:ascii="Times New Roman" w:eastAsia="SimSun" w:hAnsi="Times New Roman" w:cs="Times New Roman" w:hint="eastAsia"/>
                <w:color w:val="000000"/>
                <w:szCs w:val="21"/>
                <w:shd w:val="clear" w:color="auto" w:fill="FFFFFF"/>
              </w:rPr>
              <w:t>5,</w:t>
            </w:r>
          </w:p>
          <w:p w14:paraId="60A729B7" w14:textId="77777777" w:rsidR="00E86DF3" w:rsidRDefault="00982083">
            <w:pPr>
              <w:jc w:val="center"/>
              <w:rPr>
                <w:rFonts w:ascii="Times New Roman" w:hAnsi="Times New Roman" w:cs="Times New Roman"/>
                <w:color w:val="000000"/>
                <w:szCs w:val="21"/>
              </w:rPr>
            </w:pPr>
            <w:r>
              <w:rPr>
                <w:rFonts w:ascii="Times New Roman" w:eastAsia="SimSun" w:hAnsi="Times New Roman" w:cs="Times New Roman" w:hint="eastAsia"/>
                <w:color w:val="000000"/>
                <w:szCs w:val="21"/>
                <w:shd w:val="clear" w:color="auto" w:fill="FFFFFF"/>
              </w:rPr>
              <w:t>Fig. 12</w:t>
            </w:r>
            <w:r>
              <w:rPr>
                <w:rFonts w:ascii="Times New Roman" w:hAnsi="Times New Roman" w:cs="Times New Roman"/>
                <w:color w:val="000000"/>
                <w:szCs w:val="21"/>
              </w:rPr>
              <w:t>)</w:t>
            </w:r>
          </w:p>
        </w:tc>
      </w:tr>
      <w:tr w:rsidR="00E86DF3" w14:paraId="60A729BD" w14:textId="77777777">
        <w:trPr>
          <w:trHeight w:val="510"/>
          <w:jc w:val="center"/>
        </w:trPr>
        <w:tc>
          <w:tcPr>
            <w:tcW w:w="390" w:type="pct"/>
            <w:tcBorders>
              <w:top w:val="nil"/>
              <w:left w:val="nil"/>
              <w:bottom w:val="single" w:sz="12" w:space="0" w:color="000000"/>
              <w:right w:val="nil"/>
            </w:tcBorders>
            <w:shd w:val="clear" w:color="auto" w:fill="FFFFFF"/>
            <w:tcMar>
              <w:top w:w="96" w:type="dxa"/>
              <w:left w:w="96" w:type="dxa"/>
              <w:bottom w:w="96" w:type="dxa"/>
              <w:right w:w="96" w:type="dxa"/>
            </w:tcMar>
            <w:vAlign w:val="center"/>
          </w:tcPr>
          <w:p w14:paraId="60A729B9"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11</w:t>
            </w:r>
          </w:p>
        </w:tc>
        <w:tc>
          <w:tcPr>
            <w:tcW w:w="3433" w:type="pct"/>
            <w:tcBorders>
              <w:top w:val="nil"/>
              <w:left w:val="nil"/>
              <w:bottom w:val="single" w:sz="12" w:space="0" w:color="000000"/>
              <w:right w:val="nil"/>
            </w:tcBorders>
            <w:shd w:val="clear" w:color="auto" w:fill="FFFFFF"/>
            <w:tcMar>
              <w:top w:w="96" w:type="dxa"/>
              <w:left w:w="96" w:type="dxa"/>
              <w:bottom w:w="96" w:type="dxa"/>
              <w:right w:w="96" w:type="dxa"/>
            </w:tcMar>
            <w:vAlign w:val="center"/>
          </w:tcPr>
          <w:p w14:paraId="60A729BA" w14:textId="77777777" w:rsidR="00E86DF3" w:rsidRDefault="00982083">
            <w:pPr>
              <w:widowControl/>
              <w:jc w:val="center"/>
              <w:rPr>
                <w:color w:val="000000"/>
                <w:szCs w:val="21"/>
              </w:rPr>
            </w:pPr>
            <w:r>
              <w:rPr>
                <w:rFonts w:ascii="Times New Roman" w:eastAsia="SimSun" w:hAnsi="Times New Roman" w:cs="Times New Roman"/>
                <w:color w:val="000000"/>
                <w:kern w:val="0"/>
                <w:szCs w:val="21"/>
                <w:lang w:bidi="ar"/>
              </w:rPr>
              <w:t>Include relevant ecosystem considerations regarding the stock</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for future assessment, including</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data and results from other scientific studies regarding potential impacts on the stock due to</w:t>
            </w:r>
          </w:p>
          <w:p w14:paraId="60A729BB" w14:textId="77777777" w:rsidR="00E86DF3" w:rsidRDefault="00982083">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climate change, non-stationary population and fisheries</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processes, predator-prey dynamics, or</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impacts of distribution and phenological changes on assessment data.</w:t>
            </w:r>
          </w:p>
        </w:tc>
        <w:tc>
          <w:tcPr>
            <w:tcW w:w="1175" w:type="pct"/>
            <w:tcBorders>
              <w:top w:val="nil"/>
              <w:left w:val="nil"/>
              <w:bottom w:val="single" w:sz="12" w:space="0" w:color="000000"/>
              <w:right w:val="nil"/>
            </w:tcBorders>
            <w:shd w:val="clear" w:color="auto" w:fill="FFFFFF"/>
            <w:tcMar>
              <w:top w:w="96" w:type="dxa"/>
              <w:left w:w="96" w:type="dxa"/>
              <w:bottom w:w="96" w:type="dxa"/>
              <w:right w:w="96" w:type="dxa"/>
            </w:tcMar>
            <w:vAlign w:val="center"/>
          </w:tcPr>
          <w:p w14:paraId="60A729BC" w14:textId="77777777" w:rsidR="00E86DF3" w:rsidRDefault="00982083">
            <w:pPr>
              <w:jc w:val="center"/>
              <w:rPr>
                <w:rFonts w:ascii="Times New Roman" w:hAnsi="Times New Roman" w:cs="Times New Roman"/>
              </w:rPr>
            </w:pPr>
            <w:r>
              <w:rPr>
                <w:rFonts w:ascii="Times New Roman" w:hAnsi="Times New Roman" w:cs="Times New Roman"/>
              </w:rPr>
              <w:t>Not covered in this assessment.</w:t>
            </w:r>
          </w:p>
        </w:tc>
      </w:tr>
    </w:tbl>
    <w:p w14:paraId="60A729BE" w14:textId="77777777" w:rsidR="00E86DF3" w:rsidRDefault="00E86DF3">
      <w:pPr>
        <w:spacing w:line="276" w:lineRule="auto"/>
        <w:rPr>
          <w:rFonts w:ascii="Times New Roman" w:eastAsia="Segoe UI" w:hAnsi="Times New Roman" w:cs="Times New Roman"/>
          <w:sz w:val="24"/>
          <w:shd w:val="clear" w:color="auto" w:fill="FFFFFF"/>
        </w:rPr>
      </w:pPr>
    </w:p>
    <w:p w14:paraId="60A729BF" w14:textId="77777777" w:rsidR="00E86DF3" w:rsidRDefault="00E86DF3">
      <w:pPr>
        <w:spacing w:line="276" w:lineRule="auto"/>
        <w:rPr>
          <w:rFonts w:ascii="Times New Roman" w:eastAsia="Segoe UI" w:hAnsi="Times New Roman" w:cs="Times New Roman"/>
          <w:sz w:val="24"/>
          <w:shd w:val="clear" w:color="auto" w:fill="FFFFFF"/>
        </w:rPr>
      </w:pPr>
    </w:p>
    <w:p w14:paraId="60A729C0"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hAnsi="Times New Roman" w:cs="Times New Roman"/>
          <w:b/>
          <w:bCs/>
        </w:rPr>
        <w:t>Table 1.</w:t>
      </w:r>
      <w:r>
        <w:rPr>
          <w:rFonts w:ascii="Segoe UI" w:eastAsia="Segoe UI" w:hAnsi="Segoe UI" w:cs="Segoe UI"/>
          <w:color w:val="0F1115"/>
          <w:sz w:val="19"/>
          <w:szCs w:val="19"/>
          <w:shd w:val="clear" w:color="auto" w:fill="FFFFFF"/>
        </w:rPr>
        <w:t> </w:t>
      </w:r>
      <w:proofErr w:type="spellStart"/>
      <w:r>
        <w:rPr>
          <w:rFonts w:ascii="Times New Roman" w:hAnsi="Times New Roman" w:cs="Times New Roman"/>
        </w:rPr>
        <w:t>Geweke</w:t>
      </w:r>
      <w:proofErr w:type="spellEnd"/>
      <w:r>
        <w:rPr>
          <w:rFonts w:ascii="Times New Roman" w:hAnsi="Times New Roman" w:cs="Times New Roman"/>
        </w:rPr>
        <w:t xml:space="preserve"> diagnostics for key parameters (base-case scenario).</w:t>
      </w:r>
    </w:p>
    <w:tbl>
      <w:tblPr>
        <w:tblW w:w="8322"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108"/>
        <w:gridCol w:w="5214"/>
      </w:tblGrid>
      <w:tr w:rsidR="00E86DF3" w14:paraId="60A729C3" w14:textId="77777777">
        <w:trPr>
          <w:tblHeader/>
          <w:jc w:val="center"/>
        </w:trPr>
        <w:tc>
          <w:tcPr>
            <w:tcW w:w="3108" w:type="dxa"/>
            <w:tcBorders>
              <w:top w:val="single" w:sz="12" w:space="0" w:color="000000"/>
              <w:left w:val="nil"/>
              <w:bottom w:val="single" w:sz="4" w:space="0" w:color="000000"/>
              <w:right w:val="nil"/>
              <w:tl2br w:val="nil"/>
            </w:tcBorders>
            <w:shd w:val="clear" w:color="auto" w:fill="FFFFFF"/>
            <w:tcMar>
              <w:top w:w="120" w:type="dxa"/>
              <w:left w:w="-1" w:type="dxa"/>
              <w:bottom w:w="120" w:type="dxa"/>
              <w:right w:w="192" w:type="dxa"/>
            </w:tcMar>
            <w:vAlign w:val="center"/>
          </w:tcPr>
          <w:p w14:paraId="60A729C1"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Parameter</w:t>
            </w:r>
          </w:p>
        </w:tc>
        <w:tc>
          <w:tcPr>
            <w:tcW w:w="5214" w:type="dxa"/>
            <w:tcBorders>
              <w:top w:val="single" w:sz="12" w:space="0" w:color="000000"/>
              <w:left w:val="nil"/>
              <w:bottom w:val="single" w:sz="4" w:space="0" w:color="000000"/>
              <w:right w:val="nil"/>
            </w:tcBorders>
            <w:shd w:val="clear" w:color="auto" w:fill="FFFFFF"/>
            <w:tcMar>
              <w:top w:w="120" w:type="dxa"/>
              <w:left w:w="192" w:type="dxa"/>
              <w:bottom w:w="120" w:type="dxa"/>
              <w:right w:w="192" w:type="dxa"/>
            </w:tcMar>
            <w:vAlign w:val="center"/>
          </w:tcPr>
          <w:p w14:paraId="60A729C2" w14:textId="77777777" w:rsidR="00E86DF3" w:rsidRDefault="00982083">
            <w:pPr>
              <w:widowControl/>
              <w:snapToGrid w:val="0"/>
              <w:jc w:val="center"/>
              <w:rPr>
                <w:rFonts w:ascii="Times New Roman" w:eastAsia="Segoe UI" w:hAnsi="Times New Roman" w:cs="Times New Roman"/>
                <w:color w:val="000000"/>
                <w:szCs w:val="21"/>
              </w:rPr>
            </w:pPr>
            <w:proofErr w:type="spellStart"/>
            <w:r>
              <w:rPr>
                <w:rFonts w:ascii="Times New Roman" w:eastAsia="Segoe UI" w:hAnsi="Times New Roman" w:cs="Times New Roman"/>
                <w:color w:val="000000"/>
                <w:kern w:val="0"/>
                <w:szCs w:val="21"/>
                <w:lang w:bidi="ar"/>
              </w:rPr>
              <w:t>Geweke</w:t>
            </w:r>
            <w:proofErr w:type="spellEnd"/>
            <w:r>
              <w:rPr>
                <w:rFonts w:ascii="Times New Roman" w:eastAsia="Segoe UI" w:hAnsi="Times New Roman" w:cs="Times New Roman"/>
                <w:color w:val="000000"/>
                <w:kern w:val="0"/>
                <w:szCs w:val="21"/>
                <w:lang w:bidi="ar"/>
              </w:rPr>
              <w:t xml:space="preserve"> p-value</w:t>
            </w:r>
          </w:p>
        </w:tc>
      </w:tr>
      <w:tr w:rsidR="00E86DF3" w14:paraId="60A729C6" w14:textId="77777777">
        <w:trPr>
          <w:jc w:val="center"/>
        </w:trPr>
        <w:tc>
          <w:tcPr>
            <w:tcW w:w="3108" w:type="dxa"/>
            <w:tcBorders>
              <w:top w:val="single" w:sz="4" w:space="0" w:color="000000"/>
              <w:left w:val="nil"/>
              <w:bottom w:val="nil"/>
              <w:right w:val="nil"/>
            </w:tcBorders>
            <w:shd w:val="clear" w:color="auto" w:fill="FFFFFF"/>
            <w:tcMar>
              <w:top w:w="120" w:type="dxa"/>
              <w:left w:w="-1" w:type="dxa"/>
              <w:bottom w:w="120" w:type="dxa"/>
              <w:right w:w="192" w:type="dxa"/>
            </w:tcMar>
            <w:vAlign w:val="center"/>
          </w:tcPr>
          <w:p w14:paraId="60A729C4"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K</w:t>
            </w:r>
          </w:p>
        </w:tc>
        <w:tc>
          <w:tcPr>
            <w:tcW w:w="5214" w:type="dxa"/>
            <w:tcBorders>
              <w:top w:val="single" w:sz="4" w:space="0" w:color="000000"/>
              <w:left w:val="nil"/>
              <w:bottom w:val="nil"/>
              <w:right w:val="nil"/>
            </w:tcBorders>
            <w:shd w:val="clear" w:color="auto" w:fill="FFFFFF"/>
            <w:tcMar>
              <w:top w:w="120" w:type="dxa"/>
              <w:left w:w="192" w:type="dxa"/>
              <w:bottom w:w="120" w:type="dxa"/>
              <w:right w:w="-1" w:type="dxa"/>
            </w:tcMar>
            <w:vAlign w:val="center"/>
          </w:tcPr>
          <w:p w14:paraId="60A729C5"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0.375</w:t>
            </w:r>
          </w:p>
        </w:tc>
      </w:tr>
      <w:tr w:rsidR="00E86DF3" w14:paraId="60A729C9" w14:textId="77777777">
        <w:trPr>
          <w:jc w:val="center"/>
        </w:trPr>
        <w:tc>
          <w:tcPr>
            <w:tcW w:w="3108" w:type="dxa"/>
            <w:tcBorders>
              <w:top w:val="nil"/>
              <w:left w:val="nil"/>
              <w:bottom w:val="nil"/>
              <w:right w:val="nil"/>
            </w:tcBorders>
            <w:shd w:val="clear" w:color="auto" w:fill="FFFFFF"/>
            <w:tcMar>
              <w:top w:w="120" w:type="dxa"/>
              <w:left w:w="-1" w:type="dxa"/>
              <w:bottom w:w="120" w:type="dxa"/>
              <w:right w:w="192" w:type="dxa"/>
            </w:tcMar>
            <w:vAlign w:val="center"/>
          </w:tcPr>
          <w:p w14:paraId="60A729C7"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r</w:t>
            </w:r>
          </w:p>
        </w:tc>
        <w:tc>
          <w:tcPr>
            <w:tcW w:w="5214" w:type="dxa"/>
            <w:tcBorders>
              <w:top w:val="nil"/>
              <w:left w:val="nil"/>
              <w:bottom w:val="nil"/>
              <w:right w:val="nil"/>
            </w:tcBorders>
            <w:shd w:val="clear" w:color="auto" w:fill="FFFFFF"/>
            <w:tcMar>
              <w:top w:w="120" w:type="dxa"/>
              <w:left w:w="192" w:type="dxa"/>
              <w:bottom w:w="120" w:type="dxa"/>
              <w:right w:w="-1" w:type="dxa"/>
            </w:tcMar>
            <w:vAlign w:val="center"/>
          </w:tcPr>
          <w:p w14:paraId="60A729C8"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0.329</w:t>
            </w:r>
          </w:p>
        </w:tc>
      </w:tr>
      <w:tr w:rsidR="00E86DF3" w14:paraId="60A729CC" w14:textId="77777777">
        <w:trPr>
          <w:jc w:val="center"/>
        </w:trPr>
        <w:tc>
          <w:tcPr>
            <w:tcW w:w="3108" w:type="dxa"/>
            <w:tcBorders>
              <w:top w:val="nil"/>
              <w:left w:val="nil"/>
              <w:bottom w:val="nil"/>
              <w:right w:val="nil"/>
            </w:tcBorders>
            <w:shd w:val="clear" w:color="auto" w:fill="FFFFFF"/>
            <w:tcMar>
              <w:top w:w="120" w:type="dxa"/>
              <w:left w:w="-1" w:type="dxa"/>
              <w:bottom w:w="120" w:type="dxa"/>
              <w:right w:w="192" w:type="dxa"/>
            </w:tcMar>
            <w:vAlign w:val="center"/>
          </w:tcPr>
          <w:p w14:paraId="60A729CA"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q</w:t>
            </w:r>
          </w:p>
        </w:tc>
        <w:tc>
          <w:tcPr>
            <w:tcW w:w="5214" w:type="dxa"/>
            <w:tcBorders>
              <w:top w:val="nil"/>
              <w:left w:val="nil"/>
              <w:bottom w:val="nil"/>
              <w:right w:val="nil"/>
            </w:tcBorders>
            <w:shd w:val="clear" w:color="auto" w:fill="FFFFFF"/>
            <w:tcMar>
              <w:top w:w="120" w:type="dxa"/>
              <w:left w:w="192" w:type="dxa"/>
              <w:bottom w:w="120" w:type="dxa"/>
              <w:right w:w="-1" w:type="dxa"/>
            </w:tcMar>
            <w:vAlign w:val="center"/>
          </w:tcPr>
          <w:p w14:paraId="60A729CB"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0.532</w:t>
            </w:r>
          </w:p>
        </w:tc>
      </w:tr>
      <w:tr w:rsidR="00E86DF3" w14:paraId="60A729CF" w14:textId="77777777">
        <w:trPr>
          <w:jc w:val="center"/>
        </w:trPr>
        <w:tc>
          <w:tcPr>
            <w:tcW w:w="3108" w:type="dxa"/>
            <w:tcBorders>
              <w:top w:val="nil"/>
              <w:left w:val="nil"/>
              <w:bottom w:val="nil"/>
              <w:right w:val="nil"/>
            </w:tcBorders>
            <w:shd w:val="clear" w:color="auto" w:fill="FFFFFF"/>
            <w:tcMar>
              <w:top w:w="120" w:type="dxa"/>
              <w:left w:w="-1" w:type="dxa"/>
              <w:bottom w:w="120" w:type="dxa"/>
              <w:right w:w="192" w:type="dxa"/>
            </w:tcMar>
            <w:vAlign w:val="center"/>
          </w:tcPr>
          <w:p w14:paraId="60A729CD"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lastRenderedPageBreak/>
              <w:t>ψ</w:t>
            </w:r>
          </w:p>
        </w:tc>
        <w:tc>
          <w:tcPr>
            <w:tcW w:w="5214" w:type="dxa"/>
            <w:tcBorders>
              <w:top w:val="nil"/>
              <w:left w:val="nil"/>
              <w:bottom w:val="nil"/>
              <w:right w:val="nil"/>
            </w:tcBorders>
            <w:shd w:val="clear" w:color="auto" w:fill="FFFFFF"/>
            <w:tcMar>
              <w:top w:w="120" w:type="dxa"/>
              <w:left w:w="192" w:type="dxa"/>
              <w:bottom w:w="120" w:type="dxa"/>
              <w:right w:w="-1" w:type="dxa"/>
            </w:tcMar>
            <w:vAlign w:val="center"/>
          </w:tcPr>
          <w:p w14:paraId="60A729CE"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0.444</w:t>
            </w:r>
          </w:p>
        </w:tc>
      </w:tr>
      <w:tr w:rsidR="00E86DF3" w14:paraId="60A729D2" w14:textId="77777777">
        <w:trPr>
          <w:jc w:val="center"/>
        </w:trPr>
        <w:tc>
          <w:tcPr>
            <w:tcW w:w="3108" w:type="dxa"/>
            <w:tcBorders>
              <w:top w:val="nil"/>
              <w:left w:val="nil"/>
              <w:bottom w:val="single" w:sz="12" w:space="0" w:color="000000"/>
              <w:right w:val="nil"/>
            </w:tcBorders>
            <w:shd w:val="clear" w:color="auto" w:fill="FFFFFF"/>
            <w:tcMar>
              <w:top w:w="120" w:type="dxa"/>
              <w:left w:w="-1" w:type="dxa"/>
              <w:bottom w:w="120" w:type="dxa"/>
              <w:right w:w="192" w:type="dxa"/>
            </w:tcMar>
            <w:vAlign w:val="center"/>
          </w:tcPr>
          <w:p w14:paraId="60A729D0"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σ²</w:t>
            </w:r>
          </w:p>
        </w:tc>
        <w:tc>
          <w:tcPr>
            <w:tcW w:w="5214" w:type="dxa"/>
            <w:tcBorders>
              <w:top w:val="nil"/>
              <w:left w:val="nil"/>
              <w:bottom w:val="single" w:sz="12" w:space="0" w:color="000000"/>
              <w:right w:val="nil"/>
            </w:tcBorders>
            <w:shd w:val="clear" w:color="auto" w:fill="FFFFFF"/>
            <w:tcMar>
              <w:top w:w="120" w:type="dxa"/>
              <w:left w:w="192" w:type="dxa"/>
              <w:bottom w:w="120" w:type="dxa"/>
              <w:right w:w="-1" w:type="dxa"/>
            </w:tcMar>
            <w:vAlign w:val="center"/>
          </w:tcPr>
          <w:p w14:paraId="60A729D1" w14:textId="77777777" w:rsidR="00E86DF3" w:rsidRDefault="00982083">
            <w:pPr>
              <w:widowControl/>
              <w:snapToGrid w:val="0"/>
              <w:jc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0.081</w:t>
            </w:r>
          </w:p>
        </w:tc>
      </w:tr>
    </w:tbl>
    <w:p w14:paraId="60A729D3" w14:textId="77777777" w:rsidR="00E86DF3" w:rsidRDefault="00E86DF3">
      <w:pPr>
        <w:spacing w:line="276" w:lineRule="auto"/>
        <w:rPr>
          <w:rFonts w:ascii="Times New Roman" w:eastAsia="Segoe UI" w:hAnsi="Times New Roman" w:cs="Times New Roman"/>
          <w:sz w:val="24"/>
          <w:shd w:val="clear" w:color="auto" w:fill="FFFFFF"/>
        </w:rPr>
      </w:pPr>
    </w:p>
    <w:p w14:paraId="60A729D4" w14:textId="77777777" w:rsidR="00E86DF3" w:rsidRDefault="00982083">
      <w:pPr>
        <w:rPr>
          <w:rFonts w:ascii="Times New Roman" w:eastAsia="Segoe UI" w:hAnsi="Times New Roman" w:cs="Times New Roman"/>
          <w:szCs w:val="21"/>
          <w:shd w:val="clear" w:color="auto" w:fill="FFFFFF"/>
        </w:rPr>
      </w:pPr>
      <w:r>
        <w:rPr>
          <w:rFonts w:ascii="Times New Roman" w:hAnsi="Times New Roman" w:cs="Times New Roman"/>
          <w:b/>
          <w:bCs/>
        </w:rPr>
        <w:t xml:space="preserve">Table </w:t>
      </w:r>
      <w:r>
        <w:rPr>
          <w:rFonts w:ascii="Times New Roman" w:hAnsi="Times New Roman" w:cs="Times New Roman" w:hint="eastAsia"/>
          <w:b/>
          <w:bCs/>
        </w:rPr>
        <w:t>2</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 xml:space="preserve">Median posterior estimates (95% credible intervals) of key quantities for the winter-spring cohort of </w:t>
      </w:r>
      <w:r>
        <w:rPr>
          <w:rFonts w:ascii="Times New Roman" w:eastAsia="SimSun" w:hAnsi="Times New Roman" w:cs="Times New Roman" w:hint="eastAsia"/>
          <w:color w:val="0F1115"/>
          <w:szCs w:val="21"/>
          <w:shd w:val="clear" w:color="auto" w:fill="FFFFFF"/>
        </w:rPr>
        <w:t>NFS</w:t>
      </w:r>
      <w:r>
        <w:rPr>
          <w:rFonts w:ascii="Times New Roman" w:eastAsia="Segoe UI" w:hAnsi="Times New Roman" w:cs="Times New Roman"/>
          <w:color w:val="0F1115"/>
          <w:szCs w:val="21"/>
          <w:shd w:val="clear" w:color="auto" w:fill="FFFFFF"/>
        </w:rPr>
        <w:t>.</w:t>
      </w:r>
    </w:p>
    <w:tbl>
      <w:tblPr>
        <w:tblStyle w:val="TableGrid"/>
        <w:tblW w:w="0" w:type="auto"/>
        <w:tblInd w:w="126" w:type="dxa"/>
        <w:tblLayout w:type="fixed"/>
        <w:tblLook w:val="04A0" w:firstRow="1" w:lastRow="0" w:firstColumn="1" w:lastColumn="0" w:noHBand="0" w:noVBand="1"/>
      </w:tblPr>
      <w:tblGrid>
        <w:gridCol w:w="1420"/>
        <w:gridCol w:w="2392"/>
        <w:gridCol w:w="2292"/>
        <w:gridCol w:w="2292"/>
      </w:tblGrid>
      <w:tr w:rsidR="00E86DF3" w14:paraId="60A729DB" w14:textId="77777777">
        <w:trPr>
          <w:trHeight w:val="634"/>
        </w:trPr>
        <w:tc>
          <w:tcPr>
            <w:tcW w:w="1420" w:type="dxa"/>
            <w:tcBorders>
              <w:top w:val="single" w:sz="12" w:space="0" w:color="000000"/>
              <w:left w:val="nil"/>
              <w:bottom w:val="single" w:sz="4" w:space="0" w:color="000000"/>
              <w:right w:val="nil"/>
              <w:tl2br w:val="nil"/>
            </w:tcBorders>
            <w:shd w:val="clear" w:color="auto" w:fill="FFFFFF"/>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9"/>
            </w:tblGrid>
            <w:tr w:rsidR="00E86DF3" w14:paraId="60A729D6" w14:textId="77777777">
              <w:trPr>
                <w:tblHeader/>
              </w:trPr>
              <w:tc>
                <w:tcPr>
                  <w:tcW w:w="1149" w:type="dxa"/>
                  <w:tcBorders>
                    <w:top w:val="nil"/>
                  </w:tcBorders>
                  <w:shd w:val="clear" w:color="auto" w:fill="FFFFFF"/>
                  <w:tcMar>
                    <w:top w:w="120" w:type="dxa"/>
                    <w:left w:w="0" w:type="dxa"/>
                    <w:bottom w:w="120" w:type="dxa"/>
                    <w:right w:w="192" w:type="dxa"/>
                  </w:tcMar>
                  <w:vAlign w:val="center"/>
                </w:tcPr>
                <w:p w14:paraId="60A729D5" w14:textId="77777777" w:rsidR="00E86DF3" w:rsidRDefault="00982083">
                  <w:pPr>
                    <w:ind w:leftChars="-50" w:left="-105" w:rightChars="-100" w:right="-210" w:firstLineChars="50" w:firstLine="105"/>
                    <w:jc w:val="center"/>
                    <w:rPr>
                      <w:rFonts w:ascii="Times New Roman" w:hAnsi="Times New Roman" w:cs="Times New Roman"/>
                      <w:color w:val="000000"/>
                      <w:szCs w:val="21"/>
                    </w:rPr>
                  </w:pPr>
                  <w:r>
                    <w:rPr>
                      <w:rFonts w:ascii="Times New Roman" w:hAnsi="Times New Roman" w:cs="Times New Roman"/>
                      <w:color w:val="000000"/>
                      <w:szCs w:val="21"/>
                    </w:rPr>
                    <w:t>Parameter</w:t>
                  </w:r>
                </w:p>
              </w:tc>
            </w:tr>
          </w:tbl>
          <w:p w14:paraId="60A729D7" w14:textId="77777777" w:rsidR="00E86DF3" w:rsidRDefault="00E86DF3">
            <w:pPr>
              <w:ind w:leftChars="-50" w:left="-105" w:rightChars="-100" w:right="-210"/>
              <w:jc w:val="center"/>
              <w:rPr>
                <w:rFonts w:ascii="Times New Roman" w:hAnsi="Times New Roman" w:cs="Times New Roman"/>
                <w:color w:val="000000"/>
                <w:szCs w:val="21"/>
              </w:rPr>
            </w:pPr>
          </w:p>
        </w:tc>
        <w:tc>
          <w:tcPr>
            <w:tcW w:w="2392" w:type="dxa"/>
            <w:tcBorders>
              <w:top w:val="single" w:sz="12" w:space="0" w:color="000000"/>
              <w:left w:val="nil"/>
              <w:bottom w:val="single" w:sz="4" w:space="0" w:color="000000"/>
              <w:right w:val="nil"/>
            </w:tcBorders>
            <w:shd w:val="clear" w:color="auto" w:fill="FFFFFF"/>
          </w:tcPr>
          <w:p w14:paraId="60A729D8"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Nominal CPUE</w:t>
            </w:r>
          </w:p>
        </w:tc>
        <w:tc>
          <w:tcPr>
            <w:tcW w:w="2292" w:type="dxa"/>
            <w:tcBorders>
              <w:top w:val="single" w:sz="12" w:space="0" w:color="000000"/>
              <w:left w:val="nil"/>
              <w:bottom w:val="single" w:sz="4" w:space="0" w:color="000000"/>
              <w:right w:val="nil"/>
            </w:tcBorders>
            <w:shd w:val="clear" w:color="auto" w:fill="FFFFFF"/>
          </w:tcPr>
          <w:p w14:paraId="60A729D9"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GAM-standardized CPUE</w:t>
            </w:r>
          </w:p>
        </w:tc>
        <w:tc>
          <w:tcPr>
            <w:tcW w:w="2292" w:type="dxa"/>
            <w:tcBorders>
              <w:top w:val="single" w:sz="12" w:space="0" w:color="000000"/>
              <w:left w:val="nil"/>
              <w:bottom w:val="single" w:sz="4" w:space="0" w:color="000000"/>
              <w:right w:val="nil"/>
            </w:tcBorders>
            <w:shd w:val="clear" w:color="auto" w:fill="FFFFFF"/>
          </w:tcPr>
          <w:p w14:paraId="60A729DA"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RF-standardized CPUE</w:t>
            </w:r>
          </w:p>
        </w:tc>
      </w:tr>
      <w:tr w:rsidR="00E86DF3" w14:paraId="60A729E3" w14:textId="77777777">
        <w:trPr>
          <w:trHeight w:val="787"/>
        </w:trPr>
        <w:tc>
          <w:tcPr>
            <w:tcW w:w="1420" w:type="dxa"/>
            <w:tcBorders>
              <w:top w:val="single" w:sz="4" w:space="0" w:color="000000"/>
              <w:left w:val="nil"/>
              <w:bottom w:val="nil"/>
              <w:right w:val="nil"/>
            </w:tcBorders>
            <w:shd w:val="clear" w:color="auto" w:fill="FFFFFF"/>
          </w:tcPr>
          <w:p w14:paraId="60A729DC"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MSY</w:t>
            </w:r>
          </w:p>
        </w:tc>
        <w:tc>
          <w:tcPr>
            <w:tcW w:w="2392" w:type="dxa"/>
            <w:tcBorders>
              <w:top w:val="single" w:sz="4" w:space="0" w:color="000000"/>
              <w:left w:val="nil"/>
              <w:bottom w:val="nil"/>
              <w:right w:val="nil"/>
            </w:tcBorders>
            <w:shd w:val="clear" w:color="auto" w:fill="FFFFFF"/>
          </w:tcPr>
          <w:p w14:paraId="60A729DD"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134745.797</w:t>
            </w:r>
          </w:p>
          <w:p w14:paraId="60A729D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(61552.953-243457.352)</w:t>
            </w:r>
          </w:p>
        </w:tc>
        <w:tc>
          <w:tcPr>
            <w:tcW w:w="2292" w:type="dxa"/>
            <w:tcBorders>
              <w:top w:val="single" w:sz="4" w:space="0" w:color="000000"/>
              <w:left w:val="nil"/>
              <w:bottom w:val="nil"/>
              <w:right w:val="nil"/>
            </w:tcBorders>
            <w:shd w:val="clear" w:color="auto" w:fill="FFFFFF"/>
          </w:tcPr>
          <w:p w14:paraId="60A729D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162246.45</w:t>
            </w:r>
          </w:p>
          <w:p w14:paraId="60A729E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(85010.066-296240.46)</w:t>
            </w:r>
          </w:p>
        </w:tc>
        <w:tc>
          <w:tcPr>
            <w:tcW w:w="2292" w:type="dxa"/>
            <w:tcBorders>
              <w:top w:val="single" w:sz="4" w:space="0" w:color="000000"/>
              <w:left w:val="nil"/>
              <w:bottom w:val="nil"/>
              <w:right w:val="nil"/>
            </w:tcBorders>
            <w:shd w:val="clear" w:color="auto" w:fill="FFFFFF"/>
          </w:tcPr>
          <w:p w14:paraId="60A729E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141704.398</w:t>
            </w:r>
          </w:p>
          <w:p w14:paraId="60A729E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(79991.69-252352.985)</w:t>
            </w:r>
          </w:p>
        </w:tc>
      </w:tr>
      <w:tr w:rsidR="00E86DF3" w14:paraId="60A729EB" w14:textId="77777777">
        <w:trPr>
          <w:trHeight w:val="787"/>
        </w:trPr>
        <w:tc>
          <w:tcPr>
            <w:tcW w:w="1420" w:type="dxa"/>
            <w:tcBorders>
              <w:top w:val="nil"/>
              <w:left w:val="nil"/>
              <w:bottom w:val="nil"/>
              <w:right w:val="nil"/>
            </w:tcBorders>
            <w:shd w:val="clear" w:color="auto" w:fill="FFFFFF"/>
          </w:tcPr>
          <w:p w14:paraId="60A729E4"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B</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9E5"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324567.921</w:t>
            </w:r>
          </w:p>
          <w:p w14:paraId="60A729E6"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(143344.342-376834.704)</w:t>
            </w:r>
          </w:p>
        </w:tc>
        <w:tc>
          <w:tcPr>
            <w:tcW w:w="2292" w:type="dxa"/>
            <w:tcBorders>
              <w:top w:val="nil"/>
              <w:left w:val="nil"/>
              <w:bottom w:val="nil"/>
              <w:right w:val="nil"/>
            </w:tcBorders>
            <w:shd w:val="clear" w:color="auto" w:fill="FFFFFF"/>
          </w:tcPr>
          <w:p w14:paraId="60A729E7"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319524.378</w:t>
            </w:r>
          </w:p>
          <w:p w14:paraId="60A729E8"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(191569.558-296240.46)</w:t>
            </w:r>
          </w:p>
        </w:tc>
        <w:tc>
          <w:tcPr>
            <w:tcW w:w="2292" w:type="dxa"/>
            <w:tcBorders>
              <w:top w:val="nil"/>
              <w:left w:val="nil"/>
              <w:bottom w:val="nil"/>
              <w:right w:val="nil"/>
            </w:tcBorders>
            <w:shd w:val="clear" w:color="auto" w:fill="FFFFFF"/>
          </w:tcPr>
          <w:p w14:paraId="60A729E9"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330634.423</w:t>
            </w:r>
          </w:p>
          <w:p w14:paraId="60A729EA"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(159863.13-402731.082)</w:t>
            </w:r>
          </w:p>
        </w:tc>
      </w:tr>
      <w:tr w:rsidR="00E86DF3" w14:paraId="60A729F3" w14:textId="77777777">
        <w:trPr>
          <w:trHeight w:val="837"/>
        </w:trPr>
        <w:tc>
          <w:tcPr>
            <w:tcW w:w="1420" w:type="dxa"/>
            <w:tcBorders>
              <w:top w:val="nil"/>
              <w:left w:val="nil"/>
              <w:bottom w:val="nil"/>
              <w:right w:val="nil"/>
            </w:tcBorders>
            <w:shd w:val="clear" w:color="auto" w:fill="FFFFFF"/>
          </w:tcPr>
          <w:p w14:paraId="60A729EC"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F</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9ED"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0.496</w:t>
            </w:r>
          </w:p>
          <w:p w14:paraId="60A729E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(0.29-0.8</w:t>
            </w:r>
            <w:r>
              <w:rPr>
                <w:rFonts w:ascii="Times New Roman" w:hAnsi="Times New Roman" w:cs="Times New Roman" w:hint="eastAsia"/>
                <w:color w:val="000000"/>
                <w:szCs w:val="21"/>
              </w:rPr>
              <w:t>1</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9E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0.533</w:t>
            </w:r>
          </w:p>
          <w:p w14:paraId="60A729F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(0.33-0.881)</w:t>
            </w:r>
          </w:p>
        </w:tc>
        <w:tc>
          <w:tcPr>
            <w:tcW w:w="2292" w:type="dxa"/>
            <w:tcBorders>
              <w:top w:val="nil"/>
              <w:left w:val="nil"/>
              <w:bottom w:val="nil"/>
              <w:right w:val="nil"/>
            </w:tcBorders>
            <w:shd w:val="clear" w:color="auto" w:fill="FFFFFF"/>
          </w:tcPr>
          <w:p w14:paraId="60A729F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0.522</w:t>
            </w:r>
          </w:p>
          <w:p w14:paraId="60A729F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(0.312-0.79)</w:t>
            </w:r>
          </w:p>
        </w:tc>
      </w:tr>
      <w:tr w:rsidR="00E86DF3" w14:paraId="60A729FB" w14:textId="77777777">
        <w:trPr>
          <w:trHeight w:val="767"/>
        </w:trPr>
        <w:tc>
          <w:tcPr>
            <w:tcW w:w="1420" w:type="dxa"/>
            <w:tcBorders>
              <w:top w:val="nil"/>
              <w:left w:val="nil"/>
              <w:bottom w:val="nil"/>
              <w:right w:val="nil"/>
            </w:tcBorders>
            <w:shd w:val="clear" w:color="auto" w:fill="FFFFFF"/>
          </w:tcPr>
          <w:p w14:paraId="60A729F4"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B</w:t>
            </w:r>
            <w:r>
              <w:rPr>
                <w:rFonts w:ascii="Times New Roman" w:hAnsi="Times New Roman" w:cs="Times New Roman"/>
                <w:color w:val="000000"/>
                <w:szCs w:val="21"/>
                <w:vertAlign w:val="subscript"/>
              </w:rPr>
              <w:t>2024</w:t>
            </w:r>
            <w:r>
              <w:rPr>
                <w:rFonts w:ascii="Times New Roman" w:hAnsi="Times New Roman" w:cs="Times New Roman"/>
                <w:color w:val="000000"/>
                <w:szCs w:val="21"/>
              </w:rPr>
              <w:t>/B</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9F5"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1.928</w:t>
            </w:r>
          </w:p>
          <w:p w14:paraId="60A729F6"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(1.363-2.416)</w:t>
            </w:r>
          </w:p>
        </w:tc>
        <w:tc>
          <w:tcPr>
            <w:tcW w:w="2292" w:type="dxa"/>
            <w:tcBorders>
              <w:top w:val="nil"/>
              <w:left w:val="nil"/>
              <w:bottom w:val="nil"/>
              <w:right w:val="nil"/>
            </w:tcBorders>
            <w:shd w:val="clear" w:color="auto" w:fill="FFFFFF"/>
          </w:tcPr>
          <w:p w14:paraId="60A729F7"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1.904</w:t>
            </w:r>
          </w:p>
          <w:p w14:paraId="60A729F8"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(1.3-2.308)</w:t>
            </w:r>
          </w:p>
        </w:tc>
        <w:tc>
          <w:tcPr>
            <w:tcW w:w="2292" w:type="dxa"/>
            <w:tcBorders>
              <w:top w:val="nil"/>
              <w:left w:val="nil"/>
              <w:bottom w:val="nil"/>
              <w:right w:val="nil"/>
            </w:tcBorders>
            <w:shd w:val="clear" w:color="auto" w:fill="FFFFFF"/>
          </w:tcPr>
          <w:p w14:paraId="60A729F9"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1.943</w:t>
            </w:r>
          </w:p>
          <w:p w14:paraId="60A729FA"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(1.505-2.36)</w:t>
            </w:r>
          </w:p>
        </w:tc>
      </w:tr>
      <w:tr w:rsidR="00E86DF3" w14:paraId="60A72A03" w14:textId="77777777">
        <w:tc>
          <w:tcPr>
            <w:tcW w:w="1420" w:type="dxa"/>
            <w:tcBorders>
              <w:top w:val="nil"/>
              <w:left w:val="nil"/>
              <w:bottom w:val="single" w:sz="12" w:space="0" w:color="000000"/>
              <w:right w:val="nil"/>
            </w:tcBorders>
            <w:shd w:val="clear" w:color="auto" w:fill="FFFFFF"/>
          </w:tcPr>
          <w:p w14:paraId="60A729FC"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F</w:t>
            </w:r>
            <w:r>
              <w:rPr>
                <w:rFonts w:ascii="Times New Roman" w:hAnsi="Times New Roman" w:cs="Times New Roman"/>
                <w:color w:val="000000"/>
                <w:szCs w:val="21"/>
                <w:vertAlign w:val="subscript"/>
              </w:rPr>
              <w:t>2024</w:t>
            </w:r>
            <w:r>
              <w:rPr>
                <w:rFonts w:ascii="Times New Roman" w:hAnsi="Times New Roman" w:cs="Times New Roman"/>
                <w:color w:val="000000"/>
                <w:szCs w:val="21"/>
              </w:rPr>
              <w:t>/</w:t>
            </w:r>
            <w:r>
              <w:rPr>
                <w:rFonts w:ascii="Times New Roman" w:hAnsi="Times New Roman" w:cs="Times New Roman" w:hint="eastAsia"/>
                <w:color w:val="000000"/>
                <w:szCs w:val="21"/>
              </w:rPr>
              <w:t>F</w:t>
            </w:r>
            <w:r>
              <w:rPr>
                <w:rFonts w:ascii="Times New Roman" w:hAnsi="Times New Roman" w:cs="Times New Roman"/>
                <w:color w:val="000000"/>
                <w:szCs w:val="21"/>
                <w:vertAlign w:val="subscript"/>
              </w:rPr>
              <w:t>MSY</w:t>
            </w:r>
          </w:p>
        </w:tc>
        <w:tc>
          <w:tcPr>
            <w:tcW w:w="2392" w:type="dxa"/>
            <w:tcBorders>
              <w:top w:val="nil"/>
              <w:left w:val="nil"/>
              <w:bottom w:val="single" w:sz="12" w:space="0" w:color="000000"/>
              <w:right w:val="nil"/>
            </w:tcBorders>
            <w:shd w:val="clear" w:color="auto" w:fill="FFFFFF"/>
          </w:tcPr>
          <w:p w14:paraId="60A729FD"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0.047</w:t>
            </w:r>
          </w:p>
          <w:p w14:paraId="60A729F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(0.024-0.125)</w:t>
            </w:r>
          </w:p>
        </w:tc>
        <w:tc>
          <w:tcPr>
            <w:tcW w:w="2292" w:type="dxa"/>
            <w:tcBorders>
              <w:top w:val="nil"/>
              <w:left w:val="nil"/>
              <w:bottom w:val="single" w:sz="12" w:space="0" w:color="000000"/>
              <w:right w:val="nil"/>
            </w:tcBorders>
            <w:shd w:val="clear" w:color="auto" w:fill="FFFFFF"/>
          </w:tcPr>
          <w:p w14:paraId="60A729F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0.04</w:t>
            </w:r>
          </w:p>
          <w:p w14:paraId="60A72A0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(0.02-0.088)</w:t>
            </w:r>
          </w:p>
        </w:tc>
        <w:tc>
          <w:tcPr>
            <w:tcW w:w="2292" w:type="dxa"/>
            <w:tcBorders>
              <w:top w:val="nil"/>
              <w:left w:val="nil"/>
              <w:bottom w:val="single" w:sz="12" w:space="0" w:color="000000"/>
              <w:right w:val="nil"/>
            </w:tcBorders>
            <w:shd w:val="clear" w:color="auto" w:fill="FFFFFF"/>
          </w:tcPr>
          <w:p w14:paraId="60A72A0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0.045</w:t>
            </w:r>
          </w:p>
          <w:p w14:paraId="60A72A0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(0.023-0.087)</w:t>
            </w:r>
          </w:p>
        </w:tc>
      </w:tr>
    </w:tbl>
    <w:p w14:paraId="60A72A04" w14:textId="77777777" w:rsidR="00E86DF3" w:rsidRDefault="00E86DF3">
      <w:pPr>
        <w:spacing w:line="276" w:lineRule="auto"/>
        <w:rPr>
          <w:rFonts w:ascii="Times New Roman" w:eastAsia="Segoe UI" w:hAnsi="Times New Roman" w:cs="Times New Roman"/>
          <w:sz w:val="24"/>
          <w:shd w:val="clear" w:color="auto" w:fill="FFFFFF"/>
        </w:rPr>
      </w:pPr>
    </w:p>
    <w:p w14:paraId="60A72A05" w14:textId="77777777" w:rsidR="00E86DF3" w:rsidRDefault="00982083">
      <w:pPr>
        <w:rPr>
          <w:rFonts w:ascii="Times New Roman" w:eastAsia="Segoe UI" w:hAnsi="Times New Roman" w:cs="Times New Roman"/>
          <w:szCs w:val="21"/>
          <w:shd w:val="clear" w:color="auto" w:fill="FFFFFF"/>
        </w:rPr>
      </w:pPr>
      <w:r>
        <w:rPr>
          <w:rFonts w:ascii="Times New Roman" w:hAnsi="Times New Roman" w:cs="Times New Roman"/>
          <w:b/>
          <w:bCs/>
        </w:rPr>
        <w:t xml:space="preserve">Table </w:t>
      </w:r>
      <w:r>
        <w:rPr>
          <w:rFonts w:ascii="Times New Roman" w:hAnsi="Times New Roman" w:cs="Times New Roman" w:hint="eastAsia"/>
          <w:b/>
          <w:bCs/>
        </w:rPr>
        <w:t>3</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 xml:space="preserve">Median posterior estimates (95% credible intervals) of key quantities for the </w:t>
      </w:r>
      <w:r>
        <w:rPr>
          <w:rFonts w:ascii="Times New Roman" w:eastAsia="SimSun" w:hAnsi="Times New Roman" w:cs="Times New Roman" w:hint="eastAsia"/>
          <w:color w:val="0F1115"/>
          <w:szCs w:val="21"/>
          <w:shd w:val="clear" w:color="auto" w:fill="FFFFFF"/>
        </w:rPr>
        <w:t>autumn</w:t>
      </w:r>
      <w:r>
        <w:rPr>
          <w:rFonts w:ascii="Times New Roman" w:eastAsia="Segoe UI" w:hAnsi="Times New Roman" w:cs="Times New Roman"/>
          <w:color w:val="0F1115"/>
          <w:szCs w:val="21"/>
          <w:shd w:val="clear" w:color="auto" w:fill="FFFFFF"/>
        </w:rPr>
        <w:t xml:space="preserve"> cohort of </w:t>
      </w:r>
      <w:r>
        <w:rPr>
          <w:rFonts w:ascii="Times New Roman" w:eastAsia="SimSun" w:hAnsi="Times New Roman" w:cs="Times New Roman" w:hint="eastAsia"/>
          <w:color w:val="0F1115"/>
          <w:szCs w:val="21"/>
          <w:shd w:val="clear" w:color="auto" w:fill="FFFFFF"/>
        </w:rPr>
        <w:t>NFS</w:t>
      </w:r>
      <w:r>
        <w:rPr>
          <w:rFonts w:ascii="Times New Roman" w:eastAsia="Segoe UI" w:hAnsi="Times New Roman" w:cs="Times New Roman"/>
          <w:color w:val="0F1115"/>
          <w:szCs w:val="21"/>
          <w:shd w:val="clear" w:color="auto" w:fill="FFFFFF"/>
        </w:rPr>
        <w:t>.</w:t>
      </w:r>
    </w:p>
    <w:tbl>
      <w:tblPr>
        <w:tblStyle w:val="TableGrid"/>
        <w:tblW w:w="0" w:type="auto"/>
        <w:tblInd w:w="126" w:type="dxa"/>
        <w:tblLayout w:type="fixed"/>
        <w:tblLook w:val="04A0" w:firstRow="1" w:lastRow="0" w:firstColumn="1" w:lastColumn="0" w:noHBand="0" w:noVBand="1"/>
      </w:tblPr>
      <w:tblGrid>
        <w:gridCol w:w="1420"/>
        <w:gridCol w:w="2392"/>
        <w:gridCol w:w="2292"/>
        <w:gridCol w:w="2292"/>
      </w:tblGrid>
      <w:tr w:rsidR="00E86DF3" w14:paraId="60A72A0C" w14:textId="77777777">
        <w:trPr>
          <w:trHeight w:val="634"/>
        </w:trPr>
        <w:tc>
          <w:tcPr>
            <w:tcW w:w="1420" w:type="dxa"/>
            <w:tcBorders>
              <w:top w:val="single" w:sz="12" w:space="0" w:color="000000"/>
              <w:left w:val="nil"/>
              <w:bottom w:val="single" w:sz="4" w:space="0" w:color="000000"/>
              <w:right w:val="nil"/>
              <w:tl2br w:val="nil"/>
            </w:tcBorders>
            <w:shd w:val="clear" w:color="auto" w:fill="FFFFFF"/>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9"/>
            </w:tblGrid>
            <w:tr w:rsidR="00E86DF3" w14:paraId="60A72A07" w14:textId="77777777">
              <w:trPr>
                <w:tblHeader/>
              </w:trPr>
              <w:tc>
                <w:tcPr>
                  <w:tcW w:w="1149" w:type="dxa"/>
                  <w:tcBorders>
                    <w:top w:val="nil"/>
                  </w:tcBorders>
                  <w:shd w:val="clear" w:color="auto" w:fill="FFFFFF"/>
                  <w:tcMar>
                    <w:top w:w="120" w:type="dxa"/>
                    <w:left w:w="0" w:type="dxa"/>
                    <w:bottom w:w="120" w:type="dxa"/>
                    <w:right w:w="192" w:type="dxa"/>
                  </w:tcMar>
                  <w:vAlign w:val="center"/>
                </w:tcPr>
                <w:p w14:paraId="60A72A06" w14:textId="77777777" w:rsidR="00E86DF3" w:rsidRDefault="00982083">
                  <w:pPr>
                    <w:ind w:leftChars="-50" w:left="-105" w:rightChars="-100" w:right="-210" w:firstLineChars="50" w:firstLine="105"/>
                    <w:jc w:val="center"/>
                    <w:rPr>
                      <w:rFonts w:ascii="Times New Roman" w:hAnsi="Times New Roman" w:cs="Times New Roman"/>
                      <w:color w:val="000000"/>
                      <w:szCs w:val="21"/>
                    </w:rPr>
                  </w:pPr>
                  <w:r>
                    <w:rPr>
                      <w:rFonts w:ascii="Times New Roman" w:hAnsi="Times New Roman" w:cs="Times New Roman"/>
                      <w:color w:val="000000"/>
                      <w:szCs w:val="21"/>
                    </w:rPr>
                    <w:t>Parameter</w:t>
                  </w:r>
                </w:p>
              </w:tc>
            </w:tr>
          </w:tbl>
          <w:p w14:paraId="60A72A08" w14:textId="77777777" w:rsidR="00E86DF3" w:rsidRDefault="00E86DF3">
            <w:pPr>
              <w:ind w:leftChars="-50" w:left="-105" w:rightChars="-100" w:right="-210"/>
              <w:jc w:val="center"/>
              <w:rPr>
                <w:rFonts w:ascii="Times New Roman" w:hAnsi="Times New Roman" w:cs="Times New Roman"/>
                <w:color w:val="000000"/>
                <w:szCs w:val="21"/>
              </w:rPr>
            </w:pPr>
          </w:p>
        </w:tc>
        <w:tc>
          <w:tcPr>
            <w:tcW w:w="2392" w:type="dxa"/>
            <w:tcBorders>
              <w:top w:val="single" w:sz="12" w:space="0" w:color="000000"/>
              <w:left w:val="nil"/>
              <w:bottom w:val="single" w:sz="4" w:space="0" w:color="000000"/>
              <w:right w:val="nil"/>
            </w:tcBorders>
            <w:shd w:val="clear" w:color="auto" w:fill="FFFFFF"/>
          </w:tcPr>
          <w:p w14:paraId="60A72A09"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Nominal CPUE</w:t>
            </w:r>
          </w:p>
        </w:tc>
        <w:tc>
          <w:tcPr>
            <w:tcW w:w="2292" w:type="dxa"/>
            <w:tcBorders>
              <w:top w:val="single" w:sz="12" w:space="0" w:color="000000"/>
              <w:left w:val="nil"/>
              <w:bottom w:val="single" w:sz="4" w:space="0" w:color="000000"/>
              <w:right w:val="nil"/>
            </w:tcBorders>
            <w:shd w:val="clear" w:color="auto" w:fill="FFFFFF"/>
          </w:tcPr>
          <w:p w14:paraId="60A72A0A"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GAM-standardized CPUE</w:t>
            </w:r>
          </w:p>
        </w:tc>
        <w:tc>
          <w:tcPr>
            <w:tcW w:w="2292" w:type="dxa"/>
            <w:tcBorders>
              <w:top w:val="single" w:sz="12" w:space="0" w:color="000000"/>
              <w:left w:val="nil"/>
              <w:bottom w:val="single" w:sz="4" w:space="0" w:color="000000"/>
              <w:right w:val="nil"/>
            </w:tcBorders>
            <w:shd w:val="clear" w:color="auto" w:fill="FFFFFF"/>
          </w:tcPr>
          <w:p w14:paraId="60A72A0B"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RF-standardized CPUE</w:t>
            </w:r>
          </w:p>
        </w:tc>
      </w:tr>
      <w:tr w:rsidR="00E86DF3" w14:paraId="60A72A14" w14:textId="77777777">
        <w:trPr>
          <w:trHeight w:val="787"/>
        </w:trPr>
        <w:tc>
          <w:tcPr>
            <w:tcW w:w="1420" w:type="dxa"/>
            <w:tcBorders>
              <w:top w:val="single" w:sz="4" w:space="0" w:color="000000"/>
              <w:left w:val="nil"/>
              <w:bottom w:val="nil"/>
              <w:right w:val="nil"/>
            </w:tcBorders>
            <w:shd w:val="clear" w:color="auto" w:fill="FFFFFF"/>
          </w:tcPr>
          <w:p w14:paraId="60A72A0D"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MSY</w:t>
            </w:r>
          </w:p>
        </w:tc>
        <w:tc>
          <w:tcPr>
            <w:tcW w:w="2392" w:type="dxa"/>
            <w:tcBorders>
              <w:top w:val="single" w:sz="4" w:space="0" w:color="000000"/>
              <w:left w:val="nil"/>
              <w:bottom w:val="nil"/>
              <w:right w:val="nil"/>
            </w:tcBorders>
            <w:shd w:val="clear" w:color="auto" w:fill="FFFFFF"/>
          </w:tcPr>
          <w:p w14:paraId="60A72A0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15144.478</w:t>
            </w:r>
          </w:p>
          <w:p w14:paraId="60A72A0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8466.053</w:t>
            </w:r>
            <w:r>
              <w:rPr>
                <w:rFonts w:ascii="Times New Roman" w:hAnsi="Times New Roman" w:cs="Times New Roman"/>
                <w:color w:val="000000"/>
                <w:szCs w:val="21"/>
              </w:rPr>
              <w:t>-2</w:t>
            </w:r>
            <w:r>
              <w:rPr>
                <w:rFonts w:ascii="Times New Roman" w:hAnsi="Times New Roman" w:cs="Times New Roman" w:hint="eastAsia"/>
                <w:color w:val="000000"/>
                <w:szCs w:val="21"/>
              </w:rPr>
              <w:t>8395.321</w:t>
            </w:r>
            <w:r>
              <w:rPr>
                <w:rFonts w:ascii="Times New Roman" w:hAnsi="Times New Roman" w:cs="Times New Roman"/>
                <w:color w:val="000000"/>
                <w:szCs w:val="21"/>
              </w:rPr>
              <w:t>)</w:t>
            </w:r>
          </w:p>
        </w:tc>
        <w:tc>
          <w:tcPr>
            <w:tcW w:w="2292" w:type="dxa"/>
            <w:tcBorders>
              <w:top w:val="single" w:sz="4" w:space="0" w:color="000000"/>
              <w:left w:val="nil"/>
              <w:bottom w:val="nil"/>
              <w:right w:val="nil"/>
            </w:tcBorders>
            <w:shd w:val="clear" w:color="auto" w:fill="FFFFFF"/>
          </w:tcPr>
          <w:p w14:paraId="60A72A1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18986</w:t>
            </w:r>
            <w:r>
              <w:rPr>
                <w:rFonts w:ascii="Times New Roman" w:hAnsi="Times New Roman" w:cs="Times New Roman"/>
                <w:color w:val="000000"/>
                <w:szCs w:val="21"/>
              </w:rPr>
              <w:t>.</w:t>
            </w:r>
            <w:r>
              <w:rPr>
                <w:rFonts w:ascii="Times New Roman" w:hAnsi="Times New Roman" w:cs="Times New Roman" w:hint="eastAsia"/>
                <w:color w:val="000000"/>
                <w:szCs w:val="21"/>
              </w:rPr>
              <w:t>2</w:t>
            </w:r>
            <w:r>
              <w:rPr>
                <w:rFonts w:ascii="Times New Roman" w:hAnsi="Times New Roman" w:cs="Times New Roman"/>
                <w:color w:val="000000"/>
                <w:szCs w:val="21"/>
              </w:rPr>
              <w:t>45</w:t>
            </w:r>
          </w:p>
          <w:p w14:paraId="60A72A1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9424.009</w:t>
            </w:r>
            <w:r>
              <w:rPr>
                <w:rFonts w:ascii="Times New Roman" w:hAnsi="Times New Roman" w:cs="Times New Roman"/>
                <w:color w:val="000000"/>
                <w:szCs w:val="21"/>
              </w:rPr>
              <w:t>-</w:t>
            </w:r>
            <w:r>
              <w:rPr>
                <w:rFonts w:ascii="Times New Roman" w:hAnsi="Times New Roman" w:cs="Times New Roman" w:hint="eastAsia"/>
                <w:color w:val="000000"/>
                <w:szCs w:val="21"/>
              </w:rPr>
              <w:t>36807.89</w:t>
            </w:r>
            <w:r>
              <w:rPr>
                <w:rFonts w:ascii="Times New Roman" w:hAnsi="Times New Roman" w:cs="Times New Roman"/>
                <w:color w:val="000000"/>
                <w:szCs w:val="21"/>
              </w:rPr>
              <w:t>)</w:t>
            </w:r>
          </w:p>
        </w:tc>
        <w:tc>
          <w:tcPr>
            <w:tcW w:w="2292" w:type="dxa"/>
            <w:tcBorders>
              <w:top w:val="single" w:sz="4" w:space="0" w:color="000000"/>
              <w:left w:val="nil"/>
              <w:bottom w:val="nil"/>
              <w:right w:val="nil"/>
            </w:tcBorders>
            <w:shd w:val="clear" w:color="auto" w:fill="FFFFFF"/>
          </w:tcPr>
          <w:p w14:paraId="60A72A1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13474.186</w:t>
            </w:r>
          </w:p>
          <w:p w14:paraId="60A72A13"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7785.318-32821.931</w:t>
            </w:r>
            <w:r>
              <w:rPr>
                <w:rFonts w:ascii="Times New Roman" w:hAnsi="Times New Roman" w:cs="Times New Roman"/>
                <w:color w:val="000000"/>
                <w:szCs w:val="21"/>
              </w:rPr>
              <w:t>)</w:t>
            </w:r>
          </w:p>
        </w:tc>
      </w:tr>
      <w:tr w:rsidR="00E86DF3" w14:paraId="60A72A1C" w14:textId="77777777">
        <w:trPr>
          <w:trHeight w:val="787"/>
        </w:trPr>
        <w:tc>
          <w:tcPr>
            <w:tcW w:w="1420" w:type="dxa"/>
            <w:tcBorders>
              <w:top w:val="nil"/>
              <w:left w:val="nil"/>
              <w:bottom w:val="nil"/>
              <w:right w:val="nil"/>
            </w:tcBorders>
            <w:shd w:val="clear" w:color="auto" w:fill="FFFFFF"/>
          </w:tcPr>
          <w:p w14:paraId="60A72A15"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B</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A16"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32604.92</w:t>
            </w:r>
          </w:p>
          <w:p w14:paraId="60A72A17"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19473</w:t>
            </w:r>
            <w:r>
              <w:rPr>
                <w:rFonts w:ascii="Times New Roman" w:hAnsi="Times New Roman" w:cs="Times New Roman"/>
                <w:color w:val="000000"/>
                <w:szCs w:val="21"/>
              </w:rPr>
              <w:t>-</w:t>
            </w:r>
            <w:r>
              <w:rPr>
                <w:rFonts w:ascii="Times New Roman" w:hAnsi="Times New Roman" w:cs="Times New Roman" w:hint="eastAsia"/>
                <w:color w:val="000000"/>
                <w:szCs w:val="21"/>
              </w:rPr>
              <w:t>46966.984</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18"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39689.572</w:t>
            </w:r>
          </w:p>
          <w:p w14:paraId="60A72A19"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22728.928-62281.902</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1A"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27402.445</w:t>
            </w:r>
          </w:p>
          <w:p w14:paraId="60A72A1B"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15990.358-58877.192</w:t>
            </w:r>
            <w:r>
              <w:rPr>
                <w:rFonts w:ascii="Times New Roman" w:hAnsi="Times New Roman" w:cs="Times New Roman"/>
                <w:color w:val="000000"/>
                <w:szCs w:val="21"/>
              </w:rPr>
              <w:t>)</w:t>
            </w:r>
          </w:p>
        </w:tc>
      </w:tr>
      <w:tr w:rsidR="00E86DF3" w14:paraId="60A72A24" w14:textId="77777777">
        <w:trPr>
          <w:trHeight w:val="837"/>
        </w:trPr>
        <w:tc>
          <w:tcPr>
            <w:tcW w:w="1420" w:type="dxa"/>
            <w:tcBorders>
              <w:top w:val="nil"/>
              <w:left w:val="nil"/>
              <w:bottom w:val="nil"/>
              <w:right w:val="nil"/>
            </w:tcBorders>
            <w:shd w:val="clear" w:color="auto" w:fill="FFFFFF"/>
          </w:tcPr>
          <w:p w14:paraId="60A72A1D"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F</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A1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0.4</w:t>
            </w:r>
            <w:r>
              <w:rPr>
                <w:rFonts w:ascii="Times New Roman" w:hAnsi="Times New Roman" w:cs="Times New Roman" w:hint="eastAsia"/>
                <w:color w:val="000000"/>
                <w:szCs w:val="21"/>
              </w:rPr>
              <w:t>74</w:t>
            </w:r>
          </w:p>
          <w:p w14:paraId="60A72A1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3</w:t>
            </w:r>
            <w:r>
              <w:rPr>
                <w:rFonts w:ascii="Times New Roman" w:hAnsi="Times New Roman" w:cs="Times New Roman"/>
                <w:color w:val="000000"/>
                <w:szCs w:val="21"/>
              </w:rPr>
              <w:t>-0.</w:t>
            </w:r>
            <w:r>
              <w:rPr>
                <w:rFonts w:ascii="Times New Roman" w:hAnsi="Times New Roman" w:cs="Times New Roman" w:hint="eastAsia"/>
                <w:color w:val="000000"/>
                <w:szCs w:val="21"/>
              </w:rPr>
              <w:t>795</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2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465</w:t>
            </w:r>
          </w:p>
          <w:p w14:paraId="60A72A2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.293-0.739</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2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489</w:t>
            </w:r>
          </w:p>
          <w:p w14:paraId="60A72A23"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(0.3</w:t>
            </w:r>
            <w:r>
              <w:rPr>
                <w:rFonts w:ascii="Times New Roman" w:hAnsi="Times New Roman" w:cs="Times New Roman" w:hint="eastAsia"/>
                <w:color w:val="000000"/>
                <w:szCs w:val="21"/>
              </w:rPr>
              <w:t>17-0.759</w:t>
            </w:r>
            <w:r>
              <w:rPr>
                <w:rFonts w:ascii="Times New Roman" w:hAnsi="Times New Roman" w:cs="Times New Roman"/>
                <w:color w:val="000000"/>
                <w:szCs w:val="21"/>
              </w:rPr>
              <w:t>)</w:t>
            </w:r>
          </w:p>
        </w:tc>
      </w:tr>
      <w:tr w:rsidR="00E86DF3" w14:paraId="60A72A2C" w14:textId="77777777">
        <w:trPr>
          <w:trHeight w:val="767"/>
        </w:trPr>
        <w:tc>
          <w:tcPr>
            <w:tcW w:w="1420" w:type="dxa"/>
            <w:tcBorders>
              <w:top w:val="nil"/>
              <w:left w:val="nil"/>
              <w:bottom w:val="nil"/>
              <w:right w:val="nil"/>
            </w:tcBorders>
            <w:shd w:val="clear" w:color="auto" w:fill="FFFFFF"/>
          </w:tcPr>
          <w:p w14:paraId="60A72A25"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B</w:t>
            </w:r>
            <w:r>
              <w:rPr>
                <w:rFonts w:ascii="Times New Roman" w:hAnsi="Times New Roman" w:cs="Times New Roman"/>
                <w:color w:val="000000"/>
                <w:szCs w:val="21"/>
                <w:vertAlign w:val="subscript"/>
              </w:rPr>
              <w:t>2024</w:t>
            </w:r>
            <w:r>
              <w:rPr>
                <w:rFonts w:ascii="Times New Roman" w:hAnsi="Times New Roman" w:cs="Times New Roman"/>
                <w:color w:val="000000"/>
                <w:szCs w:val="21"/>
              </w:rPr>
              <w:t>/B</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A26"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759</w:t>
            </w:r>
          </w:p>
          <w:p w14:paraId="60A72A27"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227</w:t>
            </w:r>
            <w:r>
              <w:rPr>
                <w:rFonts w:ascii="Times New Roman" w:hAnsi="Times New Roman" w:cs="Times New Roman"/>
                <w:color w:val="000000"/>
                <w:szCs w:val="21"/>
              </w:rPr>
              <w:t>-2.</w:t>
            </w:r>
            <w:r>
              <w:rPr>
                <w:rFonts w:ascii="Times New Roman" w:hAnsi="Times New Roman" w:cs="Times New Roman" w:hint="eastAsia"/>
                <w:color w:val="000000"/>
                <w:szCs w:val="21"/>
              </w:rPr>
              <w:t>249</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28"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703</w:t>
            </w:r>
          </w:p>
          <w:p w14:paraId="60A72A29"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085</w:t>
            </w:r>
            <w:r>
              <w:rPr>
                <w:rFonts w:ascii="Times New Roman" w:hAnsi="Times New Roman" w:cs="Times New Roman"/>
                <w:color w:val="000000"/>
                <w:szCs w:val="21"/>
              </w:rPr>
              <w:t>-2.</w:t>
            </w:r>
            <w:r>
              <w:rPr>
                <w:rFonts w:ascii="Times New Roman" w:hAnsi="Times New Roman" w:cs="Times New Roman" w:hint="eastAsia"/>
                <w:color w:val="000000"/>
                <w:szCs w:val="21"/>
              </w:rPr>
              <w:t>095</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2A"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685</w:t>
            </w:r>
          </w:p>
          <w:p w14:paraId="60A72A2B"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0.908-2.123</w:t>
            </w:r>
            <w:r>
              <w:rPr>
                <w:rFonts w:ascii="Times New Roman" w:hAnsi="Times New Roman" w:cs="Times New Roman"/>
                <w:color w:val="000000"/>
                <w:szCs w:val="21"/>
              </w:rPr>
              <w:t>)</w:t>
            </w:r>
          </w:p>
        </w:tc>
      </w:tr>
      <w:tr w:rsidR="00E86DF3" w14:paraId="60A72A34" w14:textId="77777777">
        <w:tc>
          <w:tcPr>
            <w:tcW w:w="1420" w:type="dxa"/>
            <w:tcBorders>
              <w:top w:val="nil"/>
              <w:left w:val="nil"/>
              <w:bottom w:val="single" w:sz="12" w:space="0" w:color="000000"/>
              <w:right w:val="nil"/>
            </w:tcBorders>
            <w:shd w:val="clear" w:color="auto" w:fill="FFFFFF"/>
          </w:tcPr>
          <w:p w14:paraId="60A72A2D"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F</w:t>
            </w:r>
            <w:r>
              <w:rPr>
                <w:rFonts w:ascii="Times New Roman" w:hAnsi="Times New Roman" w:cs="Times New Roman"/>
                <w:color w:val="000000"/>
                <w:szCs w:val="21"/>
                <w:vertAlign w:val="subscript"/>
              </w:rPr>
              <w:t>2024</w:t>
            </w:r>
            <w:r>
              <w:rPr>
                <w:rFonts w:ascii="Times New Roman" w:hAnsi="Times New Roman" w:cs="Times New Roman"/>
                <w:color w:val="000000"/>
                <w:szCs w:val="21"/>
              </w:rPr>
              <w:t>/</w:t>
            </w:r>
            <w:r>
              <w:rPr>
                <w:rFonts w:ascii="Times New Roman" w:hAnsi="Times New Roman" w:cs="Times New Roman" w:hint="eastAsia"/>
                <w:color w:val="000000"/>
                <w:szCs w:val="21"/>
              </w:rPr>
              <w:t>F</w:t>
            </w:r>
            <w:r>
              <w:rPr>
                <w:rFonts w:ascii="Times New Roman" w:hAnsi="Times New Roman" w:cs="Times New Roman"/>
                <w:color w:val="000000"/>
                <w:szCs w:val="21"/>
                <w:vertAlign w:val="subscript"/>
              </w:rPr>
              <w:t>MSY</w:t>
            </w:r>
          </w:p>
        </w:tc>
        <w:tc>
          <w:tcPr>
            <w:tcW w:w="2392" w:type="dxa"/>
            <w:tcBorders>
              <w:top w:val="nil"/>
              <w:left w:val="nil"/>
              <w:bottom w:val="single" w:sz="12" w:space="0" w:color="000000"/>
              <w:right w:val="nil"/>
            </w:tcBorders>
            <w:shd w:val="clear" w:color="auto" w:fill="FFFFFF"/>
          </w:tcPr>
          <w:p w14:paraId="60A72A2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268</w:t>
            </w:r>
          </w:p>
          <w:p w14:paraId="60A72A2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126</w:t>
            </w:r>
            <w:r>
              <w:rPr>
                <w:rFonts w:ascii="Times New Roman" w:hAnsi="Times New Roman" w:cs="Times New Roman"/>
                <w:color w:val="000000"/>
                <w:szCs w:val="21"/>
              </w:rPr>
              <w:t>-0.</w:t>
            </w:r>
            <w:r>
              <w:rPr>
                <w:rFonts w:ascii="Times New Roman" w:hAnsi="Times New Roman" w:cs="Times New Roman" w:hint="eastAsia"/>
                <w:color w:val="000000"/>
                <w:szCs w:val="21"/>
              </w:rPr>
              <w:t>642</w:t>
            </w:r>
            <w:r>
              <w:rPr>
                <w:rFonts w:ascii="Times New Roman" w:hAnsi="Times New Roman" w:cs="Times New Roman"/>
                <w:color w:val="000000"/>
                <w:szCs w:val="21"/>
              </w:rPr>
              <w:t>)</w:t>
            </w:r>
          </w:p>
        </w:tc>
        <w:tc>
          <w:tcPr>
            <w:tcW w:w="2292" w:type="dxa"/>
            <w:tcBorders>
              <w:top w:val="nil"/>
              <w:left w:val="nil"/>
              <w:bottom w:val="single" w:sz="12" w:space="0" w:color="000000"/>
              <w:right w:val="nil"/>
            </w:tcBorders>
            <w:shd w:val="clear" w:color="auto" w:fill="FFFFFF"/>
          </w:tcPr>
          <w:p w14:paraId="60A72A3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224</w:t>
            </w:r>
          </w:p>
          <w:p w14:paraId="60A72A3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102</w:t>
            </w:r>
            <w:r>
              <w:rPr>
                <w:rFonts w:ascii="Times New Roman" w:hAnsi="Times New Roman" w:cs="Times New Roman"/>
                <w:color w:val="000000"/>
                <w:szCs w:val="21"/>
              </w:rPr>
              <w:t>-0.</w:t>
            </w:r>
            <w:r>
              <w:rPr>
                <w:rFonts w:ascii="Times New Roman" w:hAnsi="Times New Roman" w:cs="Times New Roman" w:hint="eastAsia"/>
                <w:color w:val="000000"/>
                <w:szCs w:val="21"/>
              </w:rPr>
              <w:t>63</w:t>
            </w:r>
            <w:r>
              <w:rPr>
                <w:rFonts w:ascii="Times New Roman" w:hAnsi="Times New Roman" w:cs="Times New Roman"/>
                <w:color w:val="000000"/>
                <w:szCs w:val="21"/>
              </w:rPr>
              <w:t>)</w:t>
            </w:r>
          </w:p>
        </w:tc>
        <w:tc>
          <w:tcPr>
            <w:tcW w:w="2292" w:type="dxa"/>
            <w:tcBorders>
              <w:top w:val="nil"/>
              <w:left w:val="nil"/>
              <w:bottom w:val="single" w:sz="12" w:space="0" w:color="000000"/>
              <w:right w:val="nil"/>
            </w:tcBorders>
            <w:shd w:val="clear" w:color="auto" w:fill="FFFFFF"/>
          </w:tcPr>
          <w:p w14:paraId="60A72A3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312</w:t>
            </w:r>
          </w:p>
          <w:p w14:paraId="60A72A33"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111-0.983</w:t>
            </w:r>
            <w:r>
              <w:rPr>
                <w:rFonts w:ascii="Times New Roman" w:hAnsi="Times New Roman" w:cs="Times New Roman"/>
                <w:color w:val="000000"/>
                <w:szCs w:val="21"/>
              </w:rPr>
              <w:t>)</w:t>
            </w:r>
          </w:p>
        </w:tc>
      </w:tr>
    </w:tbl>
    <w:p w14:paraId="60A72A35" w14:textId="77777777" w:rsidR="00E86DF3" w:rsidRDefault="00E86DF3">
      <w:pPr>
        <w:spacing w:line="276" w:lineRule="auto"/>
        <w:rPr>
          <w:rFonts w:ascii="Times New Roman" w:eastAsia="Segoe UI" w:hAnsi="Times New Roman" w:cs="Times New Roman"/>
          <w:sz w:val="24"/>
          <w:shd w:val="clear" w:color="auto" w:fill="FFFFFF"/>
        </w:rPr>
      </w:pPr>
    </w:p>
    <w:p w14:paraId="60A72A36" w14:textId="77777777" w:rsidR="00E86DF3" w:rsidRDefault="00982083">
      <w:pPr>
        <w:rPr>
          <w:rFonts w:ascii="Times New Roman" w:eastAsia="Segoe UI" w:hAnsi="Times New Roman" w:cs="Times New Roman"/>
          <w:szCs w:val="21"/>
          <w:shd w:val="clear" w:color="auto" w:fill="FFFFFF"/>
        </w:rPr>
      </w:pPr>
      <w:r>
        <w:rPr>
          <w:rFonts w:ascii="Times New Roman" w:hAnsi="Times New Roman" w:cs="Times New Roman"/>
          <w:b/>
          <w:bCs/>
        </w:rPr>
        <w:t xml:space="preserve">Table </w:t>
      </w:r>
      <w:r>
        <w:rPr>
          <w:rFonts w:ascii="Times New Roman" w:hAnsi="Times New Roman" w:cs="Times New Roman" w:hint="eastAsia"/>
          <w:b/>
          <w:bCs/>
        </w:rPr>
        <w:t>4</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 xml:space="preserve">Median posterior estimates (95% credible intervals) of key quantities for the </w:t>
      </w:r>
      <w:r>
        <w:rPr>
          <w:rFonts w:ascii="Times New Roman" w:eastAsia="SimSun" w:hAnsi="Times New Roman" w:cs="Times New Roman" w:hint="eastAsia"/>
          <w:color w:val="0F1115"/>
          <w:szCs w:val="21"/>
          <w:shd w:val="clear" w:color="auto" w:fill="FFFFFF"/>
        </w:rPr>
        <w:t>stock-wide</w:t>
      </w:r>
      <w:r>
        <w:rPr>
          <w:rFonts w:ascii="Times New Roman" w:eastAsia="Segoe UI" w:hAnsi="Times New Roman" w:cs="Times New Roman"/>
          <w:color w:val="0F1115"/>
          <w:szCs w:val="21"/>
          <w:shd w:val="clear" w:color="auto" w:fill="FFFFFF"/>
        </w:rPr>
        <w:t xml:space="preserve"> of </w:t>
      </w:r>
      <w:r>
        <w:rPr>
          <w:rFonts w:ascii="Times New Roman" w:eastAsia="SimSun" w:hAnsi="Times New Roman" w:cs="Times New Roman" w:hint="eastAsia"/>
          <w:color w:val="0F1115"/>
          <w:szCs w:val="21"/>
          <w:shd w:val="clear" w:color="auto" w:fill="FFFFFF"/>
        </w:rPr>
        <w:t>NFS</w:t>
      </w:r>
      <w:r>
        <w:rPr>
          <w:rFonts w:ascii="Times New Roman" w:eastAsia="Segoe UI" w:hAnsi="Times New Roman" w:cs="Times New Roman"/>
          <w:color w:val="0F1115"/>
          <w:szCs w:val="21"/>
          <w:shd w:val="clear" w:color="auto" w:fill="FFFFFF"/>
        </w:rPr>
        <w:t>.</w:t>
      </w:r>
    </w:p>
    <w:tbl>
      <w:tblPr>
        <w:tblStyle w:val="TableGrid"/>
        <w:tblW w:w="0" w:type="auto"/>
        <w:tblInd w:w="126" w:type="dxa"/>
        <w:tblLayout w:type="fixed"/>
        <w:tblLook w:val="04A0" w:firstRow="1" w:lastRow="0" w:firstColumn="1" w:lastColumn="0" w:noHBand="0" w:noVBand="1"/>
      </w:tblPr>
      <w:tblGrid>
        <w:gridCol w:w="1420"/>
        <w:gridCol w:w="2392"/>
        <w:gridCol w:w="2292"/>
        <w:gridCol w:w="2292"/>
      </w:tblGrid>
      <w:tr w:rsidR="00E86DF3" w14:paraId="60A72A3D" w14:textId="77777777">
        <w:trPr>
          <w:trHeight w:val="634"/>
        </w:trPr>
        <w:tc>
          <w:tcPr>
            <w:tcW w:w="1420" w:type="dxa"/>
            <w:tcBorders>
              <w:top w:val="single" w:sz="12" w:space="0" w:color="000000"/>
              <w:left w:val="nil"/>
              <w:bottom w:val="single" w:sz="4" w:space="0" w:color="000000"/>
              <w:right w:val="nil"/>
              <w:tl2br w:val="nil"/>
            </w:tcBorders>
            <w:shd w:val="clear" w:color="auto" w:fill="FFFFFF"/>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9"/>
            </w:tblGrid>
            <w:tr w:rsidR="00E86DF3" w14:paraId="60A72A38" w14:textId="77777777">
              <w:trPr>
                <w:tblHeader/>
              </w:trPr>
              <w:tc>
                <w:tcPr>
                  <w:tcW w:w="1149" w:type="dxa"/>
                  <w:tcBorders>
                    <w:top w:val="nil"/>
                  </w:tcBorders>
                  <w:shd w:val="clear" w:color="auto" w:fill="FFFFFF"/>
                  <w:tcMar>
                    <w:top w:w="120" w:type="dxa"/>
                    <w:left w:w="0" w:type="dxa"/>
                    <w:bottom w:w="120" w:type="dxa"/>
                    <w:right w:w="192" w:type="dxa"/>
                  </w:tcMar>
                  <w:vAlign w:val="center"/>
                </w:tcPr>
                <w:p w14:paraId="60A72A37" w14:textId="77777777" w:rsidR="00E86DF3" w:rsidRDefault="00982083">
                  <w:pPr>
                    <w:ind w:leftChars="-50" w:left="-105" w:rightChars="-100" w:right="-210" w:firstLineChars="50" w:firstLine="105"/>
                    <w:jc w:val="center"/>
                    <w:rPr>
                      <w:rFonts w:ascii="Times New Roman" w:hAnsi="Times New Roman" w:cs="Times New Roman"/>
                      <w:color w:val="000000"/>
                      <w:szCs w:val="21"/>
                    </w:rPr>
                  </w:pPr>
                  <w:r>
                    <w:rPr>
                      <w:rFonts w:ascii="Times New Roman" w:hAnsi="Times New Roman" w:cs="Times New Roman"/>
                      <w:color w:val="000000"/>
                      <w:szCs w:val="21"/>
                    </w:rPr>
                    <w:lastRenderedPageBreak/>
                    <w:t>Parameter</w:t>
                  </w:r>
                </w:p>
              </w:tc>
            </w:tr>
          </w:tbl>
          <w:p w14:paraId="60A72A39" w14:textId="77777777" w:rsidR="00E86DF3" w:rsidRDefault="00E86DF3">
            <w:pPr>
              <w:ind w:leftChars="-50" w:left="-105" w:rightChars="-100" w:right="-210"/>
              <w:jc w:val="center"/>
              <w:rPr>
                <w:rFonts w:ascii="Times New Roman" w:hAnsi="Times New Roman" w:cs="Times New Roman"/>
                <w:color w:val="000000"/>
                <w:szCs w:val="21"/>
              </w:rPr>
            </w:pPr>
          </w:p>
        </w:tc>
        <w:tc>
          <w:tcPr>
            <w:tcW w:w="2392" w:type="dxa"/>
            <w:tcBorders>
              <w:top w:val="single" w:sz="12" w:space="0" w:color="000000"/>
              <w:left w:val="nil"/>
              <w:bottom w:val="single" w:sz="4" w:space="0" w:color="000000"/>
              <w:right w:val="nil"/>
            </w:tcBorders>
            <w:shd w:val="clear" w:color="auto" w:fill="FFFFFF"/>
          </w:tcPr>
          <w:p w14:paraId="60A72A3A"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Nominal CPUE</w:t>
            </w:r>
          </w:p>
        </w:tc>
        <w:tc>
          <w:tcPr>
            <w:tcW w:w="2292" w:type="dxa"/>
            <w:tcBorders>
              <w:top w:val="single" w:sz="12" w:space="0" w:color="000000"/>
              <w:left w:val="nil"/>
              <w:bottom w:val="single" w:sz="4" w:space="0" w:color="000000"/>
              <w:right w:val="nil"/>
            </w:tcBorders>
            <w:shd w:val="clear" w:color="auto" w:fill="FFFFFF"/>
          </w:tcPr>
          <w:p w14:paraId="60A72A3B"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GAM-standardized CPUE</w:t>
            </w:r>
          </w:p>
        </w:tc>
        <w:tc>
          <w:tcPr>
            <w:tcW w:w="2292" w:type="dxa"/>
            <w:tcBorders>
              <w:top w:val="single" w:sz="12" w:space="0" w:color="000000"/>
              <w:left w:val="nil"/>
              <w:bottom w:val="single" w:sz="4" w:space="0" w:color="000000"/>
              <w:right w:val="nil"/>
            </w:tcBorders>
            <w:shd w:val="clear" w:color="auto" w:fill="FFFFFF"/>
          </w:tcPr>
          <w:p w14:paraId="60A72A3C" w14:textId="77777777" w:rsidR="00E86DF3" w:rsidRDefault="00982083">
            <w:pPr>
              <w:spacing w:before="120"/>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RF-standardized CPUE</w:t>
            </w:r>
          </w:p>
        </w:tc>
      </w:tr>
      <w:tr w:rsidR="00E86DF3" w14:paraId="60A72A45" w14:textId="77777777">
        <w:trPr>
          <w:trHeight w:val="787"/>
        </w:trPr>
        <w:tc>
          <w:tcPr>
            <w:tcW w:w="1420" w:type="dxa"/>
            <w:tcBorders>
              <w:top w:val="single" w:sz="4" w:space="0" w:color="000000"/>
              <w:left w:val="nil"/>
              <w:bottom w:val="nil"/>
              <w:right w:val="nil"/>
            </w:tcBorders>
            <w:shd w:val="clear" w:color="auto" w:fill="FFFFFF"/>
          </w:tcPr>
          <w:p w14:paraId="60A72A3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MSY</w:t>
            </w:r>
          </w:p>
        </w:tc>
        <w:tc>
          <w:tcPr>
            <w:tcW w:w="2392" w:type="dxa"/>
            <w:tcBorders>
              <w:top w:val="single" w:sz="4" w:space="0" w:color="000000"/>
              <w:left w:val="nil"/>
              <w:bottom w:val="nil"/>
              <w:right w:val="nil"/>
            </w:tcBorders>
            <w:shd w:val="clear" w:color="auto" w:fill="FFFFFF"/>
          </w:tcPr>
          <w:p w14:paraId="60A72A3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135747.458</w:t>
            </w:r>
          </w:p>
          <w:p w14:paraId="60A72A4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59318.724-248277.83</w:t>
            </w:r>
            <w:r>
              <w:rPr>
                <w:rFonts w:ascii="Times New Roman" w:hAnsi="Times New Roman" w:cs="Times New Roman"/>
                <w:color w:val="000000"/>
                <w:szCs w:val="21"/>
              </w:rPr>
              <w:t>)</w:t>
            </w:r>
          </w:p>
        </w:tc>
        <w:tc>
          <w:tcPr>
            <w:tcW w:w="2292" w:type="dxa"/>
            <w:tcBorders>
              <w:top w:val="single" w:sz="4" w:space="0" w:color="000000"/>
              <w:left w:val="nil"/>
              <w:bottom w:val="nil"/>
              <w:right w:val="nil"/>
            </w:tcBorders>
            <w:shd w:val="clear" w:color="auto" w:fill="FFFFFF"/>
          </w:tcPr>
          <w:p w14:paraId="60A72A4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172127.678</w:t>
            </w:r>
          </w:p>
          <w:p w14:paraId="60A72A4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96554.92-292883.312</w:t>
            </w:r>
            <w:r>
              <w:rPr>
                <w:rFonts w:ascii="Times New Roman" w:hAnsi="Times New Roman" w:cs="Times New Roman"/>
                <w:color w:val="000000"/>
                <w:szCs w:val="21"/>
              </w:rPr>
              <w:t>)</w:t>
            </w:r>
          </w:p>
        </w:tc>
        <w:tc>
          <w:tcPr>
            <w:tcW w:w="2292" w:type="dxa"/>
            <w:tcBorders>
              <w:top w:val="single" w:sz="4" w:space="0" w:color="000000"/>
              <w:left w:val="nil"/>
              <w:bottom w:val="nil"/>
              <w:right w:val="nil"/>
            </w:tcBorders>
            <w:shd w:val="clear" w:color="auto" w:fill="FFFFFF"/>
          </w:tcPr>
          <w:p w14:paraId="60A72A43"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152516.984</w:t>
            </w:r>
          </w:p>
          <w:p w14:paraId="60A72A44"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81554.216-263784.146</w:t>
            </w:r>
            <w:r>
              <w:rPr>
                <w:rFonts w:ascii="Times New Roman" w:hAnsi="Times New Roman" w:cs="Times New Roman"/>
                <w:color w:val="000000"/>
                <w:szCs w:val="21"/>
              </w:rPr>
              <w:t>)</w:t>
            </w:r>
          </w:p>
        </w:tc>
      </w:tr>
      <w:tr w:rsidR="00E86DF3" w14:paraId="60A72A4D" w14:textId="77777777">
        <w:trPr>
          <w:trHeight w:val="787"/>
        </w:trPr>
        <w:tc>
          <w:tcPr>
            <w:tcW w:w="1420" w:type="dxa"/>
            <w:tcBorders>
              <w:top w:val="nil"/>
              <w:left w:val="nil"/>
              <w:bottom w:val="nil"/>
              <w:right w:val="nil"/>
            </w:tcBorders>
            <w:shd w:val="clear" w:color="auto" w:fill="FFFFFF"/>
          </w:tcPr>
          <w:p w14:paraId="60A72A46"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B</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A47"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353316.316</w:t>
            </w:r>
          </w:p>
          <w:p w14:paraId="60A72A48"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191860.167-396028.801</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49"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356398.115</w:t>
            </w:r>
          </w:p>
          <w:p w14:paraId="60A72A4A"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220986.801-416746.743</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4B"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359598.269</w:t>
            </w:r>
          </w:p>
          <w:p w14:paraId="60A72A4C"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165858.236-399435.226</w:t>
            </w:r>
            <w:r>
              <w:rPr>
                <w:rFonts w:ascii="Times New Roman" w:hAnsi="Times New Roman" w:cs="Times New Roman"/>
                <w:color w:val="000000"/>
                <w:szCs w:val="21"/>
              </w:rPr>
              <w:t>)</w:t>
            </w:r>
          </w:p>
        </w:tc>
      </w:tr>
      <w:tr w:rsidR="00E86DF3" w14:paraId="60A72A55" w14:textId="77777777">
        <w:trPr>
          <w:trHeight w:val="837"/>
        </w:trPr>
        <w:tc>
          <w:tcPr>
            <w:tcW w:w="1420" w:type="dxa"/>
            <w:tcBorders>
              <w:top w:val="nil"/>
              <w:left w:val="nil"/>
              <w:bottom w:val="nil"/>
              <w:right w:val="nil"/>
            </w:tcBorders>
            <w:shd w:val="clear" w:color="auto" w:fill="FFFFFF"/>
          </w:tcPr>
          <w:p w14:paraId="60A72A4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F</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A4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0.4</w:t>
            </w:r>
            <w:r>
              <w:rPr>
                <w:rFonts w:ascii="Times New Roman" w:hAnsi="Times New Roman" w:cs="Times New Roman" w:hint="eastAsia"/>
                <w:color w:val="000000"/>
                <w:szCs w:val="21"/>
              </w:rPr>
              <w:t>24</w:t>
            </w:r>
          </w:p>
          <w:p w14:paraId="60A72A5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0.263-0.723</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5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521</w:t>
            </w:r>
          </w:p>
          <w:p w14:paraId="60A72A5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0.328-0.82</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53"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52</w:t>
            </w:r>
          </w:p>
          <w:p w14:paraId="60A72A54"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324-0.783</w:t>
            </w:r>
            <w:r>
              <w:rPr>
                <w:rFonts w:ascii="Times New Roman" w:hAnsi="Times New Roman" w:cs="Times New Roman"/>
                <w:color w:val="000000"/>
                <w:szCs w:val="21"/>
              </w:rPr>
              <w:t>)</w:t>
            </w:r>
          </w:p>
        </w:tc>
      </w:tr>
      <w:tr w:rsidR="00E86DF3" w14:paraId="60A72A5D" w14:textId="77777777">
        <w:trPr>
          <w:trHeight w:val="767"/>
        </w:trPr>
        <w:tc>
          <w:tcPr>
            <w:tcW w:w="1420" w:type="dxa"/>
            <w:tcBorders>
              <w:top w:val="nil"/>
              <w:left w:val="nil"/>
              <w:bottom w:val="nil"/>
              <w:right w:val="nil"/>
            </w:tcBorders>
            <w:shd w:val="clear" w:color="auto" w:fill="FFFFFF"/>
          </w:tcPr>
          <w:p w14:paraId="60A72A56"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B</w:t>
            </w:r>
            <w:r>
              <w:rPr>
                <w:rFonts w:ascii="Times New Roman" w:hAnsi="Times New Roman" w:cs="Times New Roman"/>
                <w:color w:val="000000"/>
                <w:szCs w:val="21"/>
                <w:vertAlign w:val="subscript"/>
              </w:rPr>
              <w:t>2024</w:t>
            </w:r>
            <w:r>
              <w:rPr>
                <w:rFonts w:ascii="Times New Roman" w:hAnsi="Times New Roman" w:cs="Times New Roman"/>
                <w:color w:val="000000"/>
                <w:szCs w:val="21"/>
              </w:rPr>
              <w:t>/B</w:t>
            </w:r>
            <w:r>
              <w:rPr>
                <w:rFonts w:ascii="Times New Roman" w:hAnsi="Times New Roman" w:cs="Times New Roman"/>
                <w:color w:val="000000"/>
                <w:szCs w:val="21"/>
                <w:vertAlign w:val="subscript"/>
              </w:rPr>
              <w:t>MSY</w:t>
            </w:r>
          </w:p>
        </w:tc>
        <w:tc>
          <w:tcPr>
            <w:tcW w:w="2392" w:type="dxa"/>
            <w:tcBorders>
              <w:top w:val="nil"/>
              <w:left w:val="nil"/>
              <w:bottom w:val="nil"/>
              <w:right w:val="nil"/>
            </w:tcBorders>
            <w:shd w:val="clear" w:color="auto" w:fill="FFFFFF"/>
          </w:tcPr>
          <w:p w14:paraId="60A72A57"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899</w:t>
            </w:r>
          </w:p>
          <w:p w14:paraId="60A72A58"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1.136-2.295</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59"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824</w:t>
            </w:r>
          </w:p>
          <w:p w14:paraId="60A72A5A"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1.174-2.217</w:t>
            </w:r>
            <w:r>
              <w:rPr>
                <w:rFonts w:ascii="Times New Roman" w:hAnsi="Times New Roman" w:cs="Times New Roman"/>
                <w:color w:val="000000"/>
                <w:szCs w:val="21"/>
              </w:rPr>
              <w:t>)</w:t>
            </w:r>
          </w:p>
        </w:tc>
        <w:tc>
          <w:tcPr>
            <w:tcW w:w="2292" w:type="dxa"/>
            <w:tcBorders>
              <w:top w:val="nil"/>
              <w:left w:val="nil"/>
              <w:bottom w:val="nil"/>
              <w:right w:val="nil"/>
            </w:tcBorders>
            <w:shd w:val="clear" w:color="auto" w:fill="FFFFFF"/>
          </w:tcPr>
          <w:p w14:paraId="60A72A5B"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929</w:t>
            </w:r>
          </w:p>
          <w:p w14:paraId="60A72A5C"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w:t>
            </w:r>
            <w:r>
              <w:rPr>
                <w:rFonts w:ascii="Times New Roman" w:hAnsi="Times New Roman" w:cs="Times New Roman" w:hint="eastAsia"/>
                <w:color w:val="000000"/>
                <w:szCs w:val="21"/>
              </w:rPr>
              <w:t>1.499-2.3</w:t>
            </w:r>
            <w:r>
              <w:rPr>
                <w:rFonts w:ascii="Times New Roman" w:hAnsi="Times New Roman" w:cs="Times New Roman"/>
                <w:color w:val="000000"/>
                <w:szCs w:val="21"/>
              </w:rPr>
              <w:t>)</w:t>
            </w:r>
          </w:p>
        </w:tc>
      </w:tr>
      <w:tr w:rsidR="00E86DF3" w14:paraId="60A72A65" w14:textId="77777777">
        <w:tc>
          <w:tcPr>
            <w:tcW w:w="1420" w:type="dxa"/>
            <w:tcBorders>
              <w:top w:val="nil"/>
              <w:left w:val="nil"/>
              <w:bottom w:val="single" w:sz="12" w:space="0" w:color="000000"/>
              <w:right w:val="nil"/>
            </w:tcBorders>
            <w:shd w:val="clear" w:color="auto" w:fill="FFFFFF"/>
          </w:tcPr>
          <w:p w14:paraId="60A72A5E"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F</w:t>
            </w:r>
            <w:r>
              <w:rPr>
                <w:rFonts w:ascii="Times New Roman" w:hAnsi="Times New Roman" w:cs="Times New Roman"/>
                <w:color w:val="000000"/>
                <w:szCs w:val="21"/>
                <w:vertAlign w:val="subscript"/>
              </w:rPr>
              <w:t>2024</w:t>
            </w:r>
            <w:r>
              <w:rPr>
                <w:rFonts w:ascii="Times New Roman" w:hAnsi="Times New Roman" w:cs="Times New Roman"/>
                <w:color w:val="000000"/>
                <w:szCs w:val="21"/>
              </w:rPr>
              <w:t>/</w:t>
            </w:r>
            <w:r>
              <w:rPr>
                <w:rFonts w:ascii="Times New Roman" w:hAnsi="Times New Roman" w:cs="Times New Roman" w:hint="eastAsia"/>
                <w:color w:val="000000"/>
                <w:szCs w:val="21"/>
              </w:rPr>
              <w:t>F</w:t>
            </w:r>
            <w:r>
              <w:rPr>
                <w:rFonts w:ascii="Times New Roman" w:hAnsi="Times New Roman" w:cs="Times New Roman"/>
                <w:color w:val="000000"/>
                <w:szCs w:val="21"/>
                <w:vertAlign w:val="subscript"/>
              </w:rPr>
              <w:t>MSY</w:t>
            </w:r>
          </w:p>
        </w:tc>
        <w:tc>
          <w:tcPr>
            <w:tcW w:w="2392" w:type="dxa"/>
            <w:tcBorders>
              <w:top w:val="nil"/>
              <w:left w:val="nil"/>
              <w:bottom w:val="single" w:sz="12" w:space="0" w:color="000000"/>
              <w:right w:val="nil"/>
            </w:tcBorders>
            <w:shd w:val="clear" w:color="auto" w:fill="FFFFFF"/>
          </w:tcPr>
          <w:p w14:paraId="60A72A5F"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0.076</w:t>
            </w:r>
          </w:p>
          <w:p w14:paraId="60A72A60"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.038-0.278</w:t>
            </w:r>
            <w:r>
              <w:rPr>
                <w:rFonts w:ascii="Times New Roman" w:hAnsi="Times New Roman" w:cs="Times New Roman"/>
                <w:color w:val="000000"/>
                <w:szCs w:val="21"/>
              </w:rPr>
              <w:t>)</w:t>
            </w:r>
          </w:p>
        </w:tc>
        <w:tc>
          <w:tcPr>
            <w:tcW w:w="2292" w:type="dxa"/>
            <w:tcBorders>
              <w:top w:val="nil"/>
              <w:left w:val="nil"/>
              <w:bottom w:val="single" w:sz="12" w:space="0" w:color="000000"/>
              <w:right w:val="nil"/>
            </w:tcBorders>
            <w:shd w:val="clear" w:color="auto" w:fill="FFFFFF"/>
          </w:tcPr>
          <w:p w14:paraId="60A72A61"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063</w:t>
            </w:r>
          </w:p>
          <w:p w14:paraId="60A72A62"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033-0.148</w:t>
            </w:r>
            <w:r>
              <w:rPr>
                <w:rFonts w:ascii="Times New Roman" w:hAnsi="Times New Roman" w:cs="Times New Roman"/>
                <w:color w:val="000000"/>
                <w:szCs w:val="21"/>
              </w:rPr>
              <w:t>)</w:t>
            </w:r>
          </w:p>
        </w:tc>
        <w:tc>
          <w:tcPr>
            <w:tcW w:w="2292" w:type="dxa"/>
            <w:tcBorders>
              <w:top w:val="nil"/>
              <w:left w:val="nil"/>
              <w:bottom w:val="single" w:sz="12" w:space="0" w:color="000000"/>
              <w:right w:val="nil"/>
            </w:tcBorders>
            <w:shd w:val="clear" w:color="auto" w:fill="FFFFFF"/>
          </w:tcPr>
          <w:p w14:paraId="60A72A63"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hint="eastAsia"/>
                <w:color w:val="000000"/>
                <w:szCs w:val="21"/>
              </w:rPr>
              <w:t>0.067</w:t>
            </w:r>
          </w:p>
          <w:p w14:paraId="60A72A64" w14:textId="77777777" w:rsidR="00E86DF3" w:rsidRDefault="00982083">
            <w:pPr>
              <w:ind w:leftChars="-50" w:left="-105" w:rightChars="-100" w:right="-210"/>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035-0.138</w:t>
            </w:r>
            <w:r>
              <w:rPr>
                <w:rFonts w:ascii="Times New Roman" w:hAnsi="Times New Roman" w:cs="Times New Roman"/>
                <w:color w:val="000000"/>
                <w:szCs w:val="21"/>
              </w:rPr>
              <w:t>)</w:t>
            </w:r>
          </w:p>
        </w:tc>
      </w:tr>
    </w:tbl>
    <w:p w14:paraId="60A72A66" w14:textId="77777777" w:rsidR="00E86DF3" w:rsidRDefault="00E86DF3">
      <w:pPr>
        <w:spacing w:line="276" w:lineRule="auto"/>
        <w:rPr>
          <w:rFonts w:ascii="Times New Roman" w:eastAsia="Segoe UI" w:hAnsi="Times New Roman" w:cs="Times New Roman"/>
          <w:sz w:val="24"/>
          <w:shd w:val="clear" w:color="auto" w:fill="FFFFFF"/>
        </w:rPr>
      </w:pPr>
    </w:p>
    <w:p w14:paraId="60A72A67" w14:textId="77777777" w:rsidR="00E86DF3" w:rsidRDefault="00982083">
      <w:pPr>
        <w:rPr>
          <w:rFonts w:ascii="Times New Roman" w:hAnsi="Times New Roman" w:cs="Times New Roman"/>
          <w:szCs w:val="21"/>
        </w:rPr>
      </w:pPr>
      <w:r>
        <w:rPr>
          <w:rFonts w:ascii="Times New Roman" w:hAnsi="Times New Roman" w:cs="Times New Roman"/>
          <w:b/>
          <w:bCs/>
        </w:rPr>
        <w:t xml:space="preserve">Table </w:t>
      </w:r>
      <w:r>
        <w:rPr>
          <w:rFonts w:ascii="Times New Roman" w:hAnsi="Times New Roman" w:cs="Times New Roman" w:hint="eastAsia"/>
          <w:b/>
          <w:bCs/>
        </w:rPr>
        <w:t>5</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Short-term (2025–202</w:t>
      </w:r>
      <w:r>
        <w:rPr>
          <w:rFonts w:ascii="Times New Roman" w:eastAsia="SimSun" w:hAnsi="Times New Roman" w:cs="Times New Roman" w:hint="eastAsia"/>
          <w:color w:val="0F1115"/>
          <w:szCs w:val="21"/>
          <w:shd w:val="clear" w:color="auto" w:fill="FFFFFF"/>
        </w:rPr>
        <w:t>9</w:t>
      </w:r>
      <w:r>
        <w:rPr>
          <w:rFonts w:ascii="Times New Roman" w:eastAsia="Segoe UI" w:hAnsi="Times New Roman" w:cs="Times New Roman"/>
          <w:color w:val="0F1115"/>
          <w:szCs w:val="21"/>
          <w:shd w:val="clear" w:color="auto" w:fill="FFFFFF"/>
        </w:rPr>
        <w:t>) projections for the stock</w:t>
      </w:r>
      <w:r>
        <w:rPr>
          <w:rFonts w:ascii="Times New Roman" w:eastAsia="SimSun" w:hAnsi="Times New Roman" w:cs="Times New Roman" w:hint="eastAsia"/>
          <w:color w:val="0F1115"/>
          <w:szCs w:val="21"/>
          <w:shd w:val="clear" w:color="auto" w:fill="FFFFFF"/>
        </w:rPr>
        <w:t>-wide</w:t>
      </w:r>
      <w:r>
        <w:rPr>
          <w:rFonts w:ascii="Times New Roman" w:eastAsia="Segoe UI" w:hAnsi="Times New Roman" w:cs="Times New Roman"/>
          <w:color w:val="0F1115"/>
          <w:szCs w:val="21"/>
          <w:shd w:val="clear" w:color="auto" w:fill="FFFFFF"/>
        </w:rPr>
        <w:t xml:space="preserve"> under three alternative catch scenarios based on the RF-standardized assessment</w:t>
      </w:r>
    </w:p>
    <w:tbl>
      <w:tblPr>
        <w:tblStyle w:val="TableGrid"/>
        <w:tblW w:w="0" w:type="auto"/>
        <w:tblInd w:w="99" w:type="dxa"/>
        <w:tblLayout w:type="fixed"/>
        <w:tblLook w:val="04A0" w:firstRow="1" w:lastRow="0" w:firstColumn="1" w:lastColumn="0" w:noHBand="0" w:noVBand="1"/>
      </w:tblPr>
      <w:tblGrid>
        <w:gridCol w:w="1226"/>
        <w:gridCol w:w="1431"/>
        <w:gridCol w:w="1406"/>
        <w:gridCol w:w="1414"/>
        <w:gridCol w:w="1449"/>
        <w:gridCol w:w="1397"/>
      </w:tblGrid>
      <w:tr w:rsidR="00E86DF3" w14:paraId="60A72A70" w14:textId="77777777">
        <w:tc>
          <w:tcPr>
            <w:tcW w:w="1226" w:type="dxa"/>
            <w:tcBorders>
              <w:top w:val="single" w:sz="12" w:space="0" w:color="000000"/>
              <w:left w:val="nil"/>
              <w:bottom w:val="single" w:sz="4" w:space="0" w:color="000000"/>
              <w:right w:val="nil"/>
              <w:tl2br w:val="nil"/>
            </w:tcBorders>
            <w:shd w:val="clear" w:color="auto" w:fill="FFFFFF"/>
          </w:tcPr>
          <w:p w14:paraId="60A72A68" w14:textId="77777777" w:rsidR="00E86DF3" w:rsidRDefault="00982083">
            <w:pPr>
              <w:pStyle w:val="HTMLPreformatted"/>
              <w:widowControl/>
              <w:wordWrap w:val="0"/>
              <w:spacing w:line="264" w:lineRule="atLeast"/>
              <w:jc w:val="center"/>
              <w:rPr>
                <w:rFonts w:ascii="Times New Roman" w:eastAsia="Consolas" w:hAnsi="Times New Roman" w:hint="default"/>
                <w:color w:val="000000"/>
                <w:sz w:val="21"/>
                <w:szCs w:val="21"/>
              </w:rPr>
            </w:pPr>
            <w:r>
              <w:rPr>
                <w:rFonts w:ascii="Times New Roman" w:eastAsia="Consolas" w:hAnsi="Times New Roman" w:hint="default"/>
                <w:color w:val="000000"/>
                <w:sz w:val="21"/>
                <w:szCs w:val="21"/>
              </w:rPr>
              <w:t>Strategy</w:t>
            </w:r>
          </w:p>
          <w:p w14:paraId="60A72A69" w14:textId="77777777" w:rsidR="00E86DF3" w:rsidRDefault="00E86DF3">
            <w:pPr>
              <w:jc w:val="center"/>
              <w:rPr>
                <w:rFonts w:ascii="Times New Roman" w:hAnsi="Times New Roman" w:cs="Times New Roman"/>
                <w:color w:val="000000"/>
                <w:szCs w:val="21"/>
              </w:rPr>
            </w:pPr>
          </w:p>
        </w:tc>
        <w:tc>
          <w:tcPr>
            <w:tcW w:w="1431" w:type="dxa"/>
            <w:tcBorders>
              <w:top w:val="single" w:sz="12" w:space="0" w:color="000000"/>
              <w:left w:val="nil"/>
              <w:bottom w:val="single" w:sz="4" w:space="0" w:color="000000"/>
              <w:right w:val="nil"/>
            </w:tcBorders>
            <w:shd w:val="clear" w:color="auto" w:fill="FFFFFF"/>
          </w:tcPr>
          <w:p w14:paraId="60A72A6A"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Annual catch (tons)</w:t>
            </w:r>
          </w:p>
        </w:tc>
        <w:tc>
          <w:tcPr>
            <w:tcW w:w="1406" w:type="dxa"/>
            <w:tcBorders>
              <w:top w:val="single" w:sz="12" w:space="0" w:color="000000"/>
              <w:left w:val="nil"/>
              <w:bottom w:val="single" w:sz="4" w:space="0" w:color="000000"/>
              <w:right w:val="nil"/>
            </w:tcBorders>
            <w:shd w:val="clear" w:color="auto" w:fill="FFFFFF"/>
          </w:tcPr>
          <w:p w14:paraId="60A72A6B"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B</w:t>
            </w:r>
            <w:r>
              <w:rPr>
                <w:rFonts w:ascii="Times New Roman" w:eastAsia="Segoe UI" w:hAnsi="Times New Roman" w:cs="Times New Roman"/>
                <w:color w:val="000000"/>
                <w:szCs w:val="21"/>
                <w:shd w:val="clear" w:color="auto" w:fill="FFFFFF"/>
                <w:vertAlign w:val="subscript"/>
              </w:rPr>
              <w:t>202</w:t>
            </w:r>
            <w:r>
              <w:rPr>
                <w:rFonts w:ascii="Times New Roman" w:eastAsia="SimSun" w:hAnsi="Times New Roman" w:cs="Times New Roman" w:hint="eastAsia"/>
                <w:color w:val="000000"/>
                <w:szCs w:val="21"/>
                <w:shd w:val="clear" w:color="auto" w:fill="FFFFFF"/>
                <w:vertAlign w:val="subscript"/>
              </w:rPr>
              <w:t>9</w:t>
            </w:r>
            <w:r>
              <w:rPr>
                <w:rFonts w:ascii="Times New Roman" w:eastAsia="Segoe UI" w:hAnsi="Times New Roman" w:cs="Times New Roman"/>
                <w:color w:val="000000"/>
                <w:szCs w:val="21"/>
                <w:shd w:val="clear" w:color="auto" w:fill="FFFFFF"/>
              </w:rPr>
              <w:t>/B</w:t>
            </w:r>
            <w:r>
              <w:rPr>
                <w:rFonts w:ascii="Times New Roman" w:eastAsia="Segoe UI" w:hAnsi="Times New Roman" w:cs="Times New Roman"/>
                <w:color w:val="000000"/>
                <w:szCs w:val="21"/>
                <w:shd w:val="clear" w:color="auto" w:fill="FFFFFF"/>
                <w:vertAlign w:val="subscript"/>
              </w:rPr>
              <w:t>MSY</w:t>
            </w:r>
          </w:p>
        </w:tc>
        <w:tc>
          <w:tcPr>
            <w:tcW w:w="1414" w:type="dxa"/>
            <w:tcBorders>
              <w:top w:val="single" w:sz="12" w:space="0" w:color="000000"/>
              <w:left w:val="nil"/>
              <w:bottom w:val="single" w:sz="4" w:space="0" w:color="000000"/>
              <w:right w:val="nil"/>
            </w:tcBorders>
            <w:shd w:val="clear" w:color="auto" w:fill="FFFFFF"/>
          </w:tcPr>
          <w:p w14:paraId="60A72A6C"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F</w:t>
            </w:r>
            <w:r>
              <w:rPr>
                <w:rFonts w:ascii="Times New Roman" w:eastAsia="Segoe UI" w:hAnsi="Times New Roman" w:cs="Times New Roman"/>
                <w:color w:val="000000"/>
                <w:szCs w:val="21"/>
                <w:shd w:val="clear" w:color="auto" w:fill="FFFFFF"/>
                <w:vertAlign w:val="subscript"/>
              </w:rPr>
              <w:t>202</w:t>
            </w:r>
            <w:r>
              <w:rPr>
                <w:rFonts w:ascii="Times New Roman" w:eastAsia="SimSun" w:hAnsi="Times New Roman" w:cs="Times New Roman" w:hint="eastAsia"/>
                <w:color w:val="000000"/>
                <w:szCs w:val="21"/>
                <w:shd w:val="clear" w:color="auto" w:fill="FFFFFF"/>
                <w:vertAlign w:val="subscript"/>
              </w:rPr>
              <w:t>9</w:t>
            </w:r>
            <w:r>
              <w:rPr>
                <w:rFonts w:ascii="Times New Roman" w:eastAsia="Segoe UI" w:hAnsi="Times New Roman" w:cs="Times New Roman"/>
                <w:color w:val="000000"/>
                <w:szCs w:val="21"/>
                <w:shd w:val="clear" w:color="auto" w:fill="FFFFFF"/>
              </w:rPr>
              <w:t>/F</w:t>
            </w:r>
            <w:r>
              <w:rPr>
                <w:rFonts w:ascii="Times New Roman" w:eastAsia="Segoe UI" w:hAnsi="Times New Roman" w:cs="Times New Roman"/>
                <w:color w:val="000000"/>
                <w:szCs w:val="21"/>
                <w:shd w:val="clear" w:color="auto" w:fill="FFFFFF"/>
                <w:vertAlign w:val="subscript"/>
              </w:rPr>
              <w:t>MSY</w:t>
            </w:r>
          </w:p>
        </w:tc>
        <w:tc>
          <w:tcPr>
            <w:tcW w:w="1449" w:type="dxa"/>
            <w:tcBorders>
              <w:top w:val="single" w:sz="12" w:space="0" w:color="000000"/>
              <w:left w:val="nil"/>
              <w:bottom w:val="single" w:sz="4" w:space="0" w:color="000000"/>
              <w:right w:val="nil"/>
            </w:tcBorders>
            <w:shd w:val="clear" w:color="auto" w:fill="FFFFFF"/>
          </w:tcPr>
          <w:p w14:paraId="60A72A6D" w14:textId="77777777" w:rsidR="00E86DF3" w:rsidRDefault="00982083">
            <w:pPr>
              <w:pStyle w:val="HTMLPreformatted"/>
              <w:widowControl/>
              <w:wordWrap w:val="0"/>
              <w:spacing w:line="264" w:lineRule="atLeast"/>
              <w:jc w:val="center"/>
              <w:rPr>
                <w:rFonts w:ascii="Times New Roman" w:eastAsia="Consolas" w:hAnsi="Times New Roman" w:hint="default"/>
                <w:color w:val="000000"/>
                <w:sz w:val="21"/>
                <w:szCs w:val="21"/>
                <w:vertAlign w:val="subscript"/>
              </w:rPr>
            </w:pPr>
            <w:r>
              <w:rPr>
                <w:rFonts w:ascii="Times New Roman" w:eastAsia="Consolas" w:hAnsi="Times New Roman" w:hint="default"/>
                <w:color w:val="000000"/>
                <w:sz w:val="21"/>
                <w:szCs w:val="21"/>
              </w:rPr>
              <w:t>ΔB/B</w:t>
            </w:r>
            <w:r>
              <w:rPr>
                <w:rFonts w:ascii="Times New Roman" w:hAnsi="Times New Roman"/>
                <w:color w:val="000000"/>
                <w:sz w:val="21"/>
                <w:szCs w:val="21"/>
                <w:vertAlign w:val="subscript"/>
              </w:rPr>
              <w:t>MSY</w:t>
            </w:r>
          </w:p>
          <w:p w14:paraId="60A72A6E" w14:textId="77777777" w:rsidR="00E86DF3" w:rsidRDefault="00E86DF3">
            <w:pPr>
              <w:jc w:val="center"/>
              <w:rPr>
                <w:rFonts w:ascii="Times New Roman" w:hAnsi="Times New Roman" w:cs="Times New Roman"/>
                <w:color w:val="000000"/>
                <w:szCs w:val="21"/>
              </w:rPr>
            </w:pPr>
          </w:p>
        </w:tc>
        <w:tc>
          <w:tcPr>
            <w:tcW w:w="1397" w:type="dxa"/>
            <w:tcBorders>
              <w:top w:val="single" w:sz="12" w:space="0" w:color="000000"/>
              <w:left w:val="nil"/>
              <w:bottom w:val="single" w:sz="4" w:space="0" w:color="000000"/>
              <w:right w:val="nil"/>
            </w:tcBorders>
            <w:shd w:val="clear" w:color="auto" w:fill="FFFFFF"/>
          </w:tcPr>
          <w:p w14:paraId="60A72A6F"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Sustainability status</w:t>
            </w:r>
          </w:p>
        </w:tc>
      </w:tr>
      <w:tr w:rsidR="00E86DF3" w14:paraId="60A72A77" w14:textId="77777777">
        <w:trPr>
          <w:trHeight w:val="363"/>
        </w:trPr>
        <w:tc>
          <w:tcPr>
            <w:tcW w:w="1226" w:type="dxa"/>
            <w:tcBorders>
              <w:top w:val="single" w:sz="4" w:space="0" w:color="000000"/>
              <w:left w:val="nil"/>
              <w:bottom w:val="nil"/>
              <w:right w:val="nil"/>
            </w:tcBorders>
            <w:shd w:val="clear" w:color="auto" w:fill="FFFFFF"/>
          </w:tcPr>
          <w:p w14:paraId="60A72A71"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Low</w:t>
            </w:r>
          </w:p>
        </w:tc>
        <w:tc>
          <w:tcPr>
            <w:tcW w:w="1431" w:type="dxa"/>
            <w:tcBorders>
              <w:top w:val="single" w:sz="4" w:space="0" w:color="000000"/>
              <w:left w:val="nil"/>
              <w:bottom w:val="nil"/>
              <w:right w:val="nil"/>
            </w:tcBorders>
            <w:shd w:val="clear" w:color="auto" w:fill="FFFFFF"/>
          </w:tcPr>
          <w:p w14:paraId="60A72A72" w14:textId="77777777" w:rsidR="00E86DF3" w:rsidRDefault="00982083">
            <w:pPr>
              <w:jc w:val="center"/>
              <w:rPr>
                <w:rFonts w:ascii="Times New Roman" w:hAnsi="Times New Roman" w:cs="Times New Roman"/>
                <w:color w:val="000000"/>
                <w:szCs w:val="21"/>
              </w:rPr>
            </w:pPr>
            <w:r>
              <w:rPr>
                <w:rFonts w:ascii="Times New Roman" w:hAnsi="Times New Roman" w:cs="Times New Roman" w:hint="eastAsia"/>
                <w:color w:val="000000"/>
                <w:szCs w:val="21"/>
              </w:rPr>
              <w:t>10000</w:t>
            </w:r>
          </w:p>
        </w:tc>
        <w:tc>
          <w:tcPr>
            <w:tcW w:w="1406" w:type="dxa"/>
            <w:tcBorders>
              <w:top w:val="single" w:sz="4" w:space="0" w:color="000000"/>
              <w:left w:val="nil"/>
              <w:bottom w:val="nil"/>
              <w:right w:val="nil"/>
            </w:tcBorders>
            <w:shd w:val="clear" w:color="auto" w:fill="FFFFFF"/>
          </w:tcPr>
          <w:p w14:paraId="60A72A73"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1.9</w:t>
            </w:r>
            <w:r>
              <w:rPr>
                <w:rFonts w:ascii="Times New Roman" w:hAnsi="Times New Roman" w:cs="Times New Roman" w:hint="eastAsia"/>
                <w:color w:val="000000"/>
                <w:szCs w:val="21"/>
              </w:rPr>
              <w:t>55</w:t>
            </w:r>
          </w:p>
        </w:tc>
        <w:tc>
          <w:tcPr>
            <w:tcW w:w="1414" w:type="dxa"/>
            <w:tcBorders>
              <w:top w:val="single" w:sz="4" w:space="0" w:color="000000"/>
              <w:left w:val="nil"/>
              <w:bottom w:val="nil"/>
              <w:right w:val="nil"/>
            </w:tcBorders>
            <w:shd w:val="clear" w:color="auto" w:fill="FFFFFF"/>
          </w:tcPr>
          <w:p w14:paraId="60A72A74"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0.0</w:t>
            </w:r>
            <w:r>
              <w:rPr>
                <w:rFonts w:ascii="Times New Roman" w:hAnsi="Times New Roman" w:cs="Times New Roman" w:hint="eastAsia"/>
                <w:color w:val="000000"/>
                <w:szCs w:val="21"/>
              </w:rPr>
              <w:t>338</w:t>
            </w:r>
          </w:p>
        </w:tc>
        <w:tc>
          <w:tcPr>
            <w:tcW w:w="1449" w:type="dxa"/>
            <w:tcBorders>
              <w:top w:val="single" w:sz="4" w:space="0" w:color="000000"/>
              <w:left w:val="nil"/>
              <w:bottom w:val="nil"/>
              <w:right w:val="nil"/>
            </w:tcBorders>
            <w:shd w:val="clear" w:color="auto" w:fill="FFFFFF"/>
          </w:tcPr>
          <w:p w14:paraId="60A72A75"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+0.0</w:t>
            </w:r>
            <w:r>
              <w:rPr>
                <w:rFonts w:ascii="Times New Roman" w:hAnsi="Times New Roman" w:cs="Times New Roman" w:hint="eastAsia"/>
                <w:color w:val="000000"/>
                <w:szCs w:val="21"/>
              </w:rPr>
              <w:t>261</w:t>
            </w:r>
          </w:p>
        </w:tc>
        <w:tc>
          <w:tcPr>
            <w:tcW w:w="1397" w:type="dxa"/>
            <w:tcBorders>
              <w:top w:val="single" w:sz="4" w:space="0" w:color="000000"/>
              <w:left w:val="nil"/>
              <w:bottom w:val="nil"/>
              <w:right w:val="nil"/>
            </w:tcBorders>
            <w:shd w:val="clear" w:color="auto" w:fill="FFFFFF"/>
          </w:tcPr>
          <w:p w14:paraId="60A72A76"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Sustainable</w:t>
            </w:r>
          </w:p>
        </w:tc>
      </w:tr>
      <w:tr w:rsidR="00E86DF3" w14:paraId="60A72A7E" w14:textId="77777777">
        <w:trPr>
          <w:trHeight w:val="329"/>
        </w:trPr>
        <w:tc>
          <w:tcPr>
            <w:tcW w:w="1226" w:type="dxa"/>
            <w:tcBorders>
              <w:top w:val="nil"/>
              <w:left w:val="nil"/>
              <w:bottom w:val="nil"/>
              <w:right w:val="nil"/>
            </w:tcBorders>
            <w:shd w:val="clear" w:color="auto" w:fill="FFFFFF"/>
          </w:tcPr>
          <w:p w14:paraId="60A72A78"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Me</w:t>
            </w:r>
            <w:r>
              <w:rPr>
                <w:rFonts w:ascii="Times New Roman" w:eastAsia="SimSun" w:hAnsi="Times New Roman" w:cs="Times New Roman" w:hint="eastAsia"/>
                <w:color w:val="000000"/>
                <w:szCs w:val="21"/>
                <w:shd w:val="clear" w:color="auto" w:fill="FFFFFF"/>
              </w:rPr>
              <w:t>dium</w:t>
            </w:r>
          </w:p>
        </w:tc>
        <w:tc>
          <w:tcPr>
            <w:tcW w:w="1431" w:type="dxa"/>
            <w:tcBorders>
              <w:top w:val="nil"/>
              <w:left w:val="nil"/>
              <w:bottom w:val="nil"/>
              <w:right w:val="nil"/>
            </w:tcBorders>
            <w:shd w:val="clear" w:color="auto" w:fill="FFFFFF"/>
          </w:tcPr>
          <w:p w14:paraId="60A72A79" w14:textId="77777777" w:rsidR="00E86DF3" w:rsidRDefault="00982083">
            <w:pPr>
              <w:jc w:val="center"/>
              <w:rPr>
                <w:rFonts w:ascii="Times New Roman" w:hAnsi="Times New Roman" w:cs="Times New Roman"/>
                <w:color w:val="000000"/>
                <w:szCs w:val="21"/>
              </w:rPr>
            </w:pPr>
            <w:r>
              <w:rPr>
                <w:rFonts w:ascii="Times New Roman" w:hAnsi="Times New Roman" w:cs="Times New Roman" w:hint="eastAsia"/>
                <w:color w:val="000000"/>
                <w:szCs w:val="21"/>
              </w:rPr>
              <w:t>35000</w:t>
            </w:r>
          </w:p>
        </w:tc>
        <w:tc>
          <w:tcPr>
            <w:tcW w:w="1406" w:type="dxa"/>
            <w:tcBorders>
              <w:top w:val="nil"/>
              <w:left w:val="nil"/>
              <w:bottom w:val="nil"/>
              <w:right w:val="nil"/>
            </w:tcBorders>
            <w:shd w:val="clear" w:color="auto" w:fill="FFFFFF"/>
          </w:tcPr>
          <w:p w14:paraId="60A72A7A"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8598</w:t>
            </w:r>
          </w:p>
        </w:tc>
        <w:tc>
          <w:tcPr>
            <w:tcW w:w="1414" w:type="dxa"/>
            <w:tcBorders>
              <w:top w:val="nil"/>
              <w:left w:val="nil"/>
              <w:bottom w:val="nil"/>
              <w:right w:val="nil"/>
            </w:tcBorders>
            <w:shd w:val="clear" w:color="auto" w:fill="FFFFFF"/>
          </w:tcPr>
          <w:p w14:paraId="60A72A7B"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1238</w:t>
            </w:r>
          </w:p>
        </w:tc>
        <w:tc>
          <w:tcPr>
            <w:tcW w:w="1449" w:type="dxa"/>
            <w:tcBorders>
              <w:top w:val="nil"/>
              <w:left w:val="nil"/>
              <w:bottom w:val="nil"/>
              <w:right w:val="nil"/>
            </w:tcBorders>
            <w:shd w:val="clear" w:color="auto" w:fill="FFFFFF"/>
          </w:tcPr>
          <w:p w14:paraId="60A72A7C"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F1115"/>
                <w:szCs w:val="21"/>
                <w:shd w:val="clear" w:color="auto" w:fill="FFFFFF"/>
              </w:rPr>
              <w:t>–</w:t>
            </w:r>
            <w:r>
              <w:rPr>
                <w:rFonts w:ascii="Times New Roman" w:hAnsi="Times New Roman" w:cs="Times New Roman" w:hint="eastAsia"/>
                <w:color w:val="000000"/>
                <w:szCs w:val="21"/>
              </w:rPr>
              <w:t>0.0691</w:t>
            </w:r>
          </w:p>
        </w:tc>
        <w:tc>
          <w:tcPr>
            <w:tcW w:w="1397" w:type="dxa"/>
            <w:tcBorders>
              <w:top w:val="nil"/>
              <w:left w:val="nil"/>
              <w:bottom w:val="nil"/>
              <w:right w:val="nil"/>
            </w:tcBorders>
            <w:shd w:val="clear" w:color="auto" w:fill="FFFFFF"/>
          </w:tcPr>
          <w:p w14:paraId="60A72A7D"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Sustainable</w:t>
            </w:r>
          </w:p>
        </w:tc>
      </w:tr>
      <w:tr w:rsidR="00E86DF3" w14:paraId="60A72A85" w14:textId="77777777">
        <w:trPr>
          <w:trHeight w:val="320"/>
        </w:trPr>
        <w:tc>
          <w:tcPr>
            <w:tcW w:w="1226" w:type="dxa"/>
            <w:tcBorders>
              <w:top w:val="nil"/>
              <w:left w:val="nil"/>
              <w:bottom w:val="single" w:sz="12" w:space="0" w:color="000000"/>
              <w:right w:val="nil"/>
            </w:tcBorders>
            <w:shd w:val="clear" w:color="auto" w:fill="FFFFFF"/>
          </w:tcPr>
          <w:p w14:paraId="60A72A7F"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High</w:t>
            </w:r>
          </w:p>
        </w:tc>
        <w:tc>
          <w:tcPr>
            <w:tcW w:w="1431" w:type="dxa"/>
            <w:tcBorders>
              <w:top w:val="nil"/>
              <w:left w:val="nil"/>
              <w:bottom w:val="single" w:sz="12" w:space="0" w:color="000000"/>
              <w:right w:val="nil"/>
            </w:tcBorders>
            <w:shd w:val="clear" w:color="auto" w:fill="FFFFFF"/>
          </w:tcPr>
          <w:p w14:paraId="60A72A80" w14:textId="77777777" w:rsidR="00E86DF3" w:rsidRDefault="00982083">
            <w:pPr>
              <w:jc w:val="center"/>
              <w:rPr>
                <w:rFonts w:ascii="Times New Roman" w:hAnsi="Times New Roman" w:cs="Times New Roman"/>
                <w:color w:val="000000"/>
                <w:szCs w:val="21"/>
              </w:rPr>
            </w:pPr>
            <w:r>
              <w:rPr>
                <w:rFonts w:ascii="Times New Roman" w:hAnsi="Times New Roman" w:cs="Times New Roman" w:hint="eastAsia"/>
                <w:color w:val="000000"/>
                <w:szCs w:val="21"/>
              </w:rPr>
              <w:t>60000</w:t>
            </w:r>
          </w:p>
        </w:tc>
        <w:tc>
          <w:tcPr>
            <w:tcW w:w="1406" w:type="dxa"/>
            <w:tcBorders>
              <w:top w:val="nil"/>
              <w:left w:val="nil"/>
              <w:bottom w:val="single" w:sz="12" w:space="0" w:color="000000"/>
              <w:right w:val="nil"/>
            </w:tcBorders>
            <w:shd w:val="clear" w:color="auto" w:fill="FFFFFF"/>
          </w:tcPr>
          <w:p w14:paraId="60A72A81"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7528</w:t>
            </w:r>
          </w:p>
        </w:tc>
        <w:tc>
          <w:tcPr>
            <w:tcW w:w="1414" w:type="dxa"/>
            <w:tcBorders>
              <w:top w:val="nil"/>
              <w:left w:val="nil"/>
              <w:bottom w:val="single" w:sz="12" w:space="0" w:color="000000"/>
              <w:right w:val="nil"/>
            </w:tcBorders>
            <w:shd w:val="clear" w:color="auto" w:fill="FFFFFF"/>
          </w:tcPr>
          <w:p w14:paraId="60A72A82" w14:textId="77777777" w:rsidR="00E86DF3" w:rsidRDefault="00982083">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2242</w:t>
            </w:r>
          </w:p>
        </w:tc>
        <w:tc>
          <w:tcPr>
            <w:tcW w:w="1449" w:type="dxa"/>
            <w:tcBorders>
              <w:top w:val="nil"/>
              <w:left w:val="nil"/>
              <w:bottom w:val="single" w:sz="12" w:space="0" w:color="000000"/>
              <w:right w:val="nil"/>
            </w:tcBorders>
            <w:shd w:val="clear" w:color="auto" w:fill="FFFFFF"/>
          </w:tcPr>
          <w:p w14:paraId="60A72A83"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F1115"/>
                <w:szCs w:val="21"/>
                <w:shd w:val="clear" w:color="auto" w:fill="FFFFFF"/>
              </w:rPr>
              <w:t>–</w:t>
            </w:r>
            <w:r>
              <w:rPr>
                <w:rFonts w:ascii="Times New Roman" w:hAnsi="Times New Roman" w:cs="Times New Roman" w:hint="eastAsia"/>
                <w:color w:val="000000"/>
                <w:szCs w:val="21"/>
              </w:rPr>
              <w:t>0.1761</w:t>
            </w:r>
          </w:p>
        </w:tc>
        <w:tc>
          <w:tcPr>
            <w:tcW w:w="1397" w:type="dxa"/>
            <w:tcBorders>
              <w:top w:val="nil"/>
              <w:left w:val="nil"/>
              <w:bottom w:val="single" w:sz="12" w:space="0" w:color="000000"/>
              <w:right w:val="nil"/>
            </w:tcBorders>
            <w:shd w:val="clear" w:color="auto" w:fill="FFFFFF"/>
          </w:tcPr>
          <w:p w14:paraId="60A72A84" w14:textId="77777777" w:rsidR="00E86DF3" w:rsidRDefault="00982083">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Sustainable</w:t>
            </w:r>
          </w:p>
        </w:tc>
      </w:tr>
    </w:tbl>
    <w:p w14:paraId="60A72A86" w14:textId="77777777" w:rsidR="00E86DF3" w:rsidRDefault="00E86DF3">
      <w:pPr>
        <w:spacing w:line="276" w:lineRule="auto"/>
        <w:rPr>
          <w:rFonts w:ascii="Times New Roman" w:eastAsia="Segoe UI" w:hAnsi="Times New Roman" w:cs="Times New Roman"/>
          <w:sz w:val="24"/>
          <w:shd w:val="clear" w:color="auto" w:fill="FFFFFF"/>
        </w:rPr>
      </w:pPr>
    </w:p>
    <w:p w14:paraId="60A72A87" w14:textId="77777777" w:rsidR="00E86DF3" w:rsidRDefault="00E86DF3">
      <w:pPr>
        <w:spacing w:line="276" w:lineRule="auto"/>
        <w:rPr>
          <w:rFonts w:ascii="Times New Roman" w:eastAsia="Segoe UI" w:hAnsi="Times New Roman" w:cs="Times New Roman"/>
          <w:sz w:val="24"/>
          <w:shd w:val="clear" w:color="auto" w:fill="FFFFFF"/>
        </w:rPr>
      </w:pPr>
    </w:p>
    <w:p w14:paraId="60A72A88" w14:textId="77777777" w:rsidR="00E86DF3" w:rsidRDefault="00E86DF3">
      <w:pPr>
        <w:spacing w:line="276" w:lineRule="auto"/>
        <w:rPr>
          <w:rFonts w:ascii="Times New Roman" w:eastAsia="Segoe UI" w:hAnsi="Times New Roman" w:cs="Times New Roman"/>
          <w:sz w:val="24"/>
          <w:shd w:val="clear" w:color="auto" w:fill="FFFFFF"/>
        </w:rPr>
      </w:pPr>
    </w:p>
    <w:p w14:paraId="60A72A89" w14:textId="77777777" w:rsidR="00E86DF3" w:rsidRDefault="00E86DF3">
      <w:pPr>
        <w:spacing w:line="276" w:lineRule="auto"/>
        <w:rPr>
          <w:rFonts w:ascii="Times New Roman" w:eastAsia="Segoe UI" w:hAnsi="Times New Roman" w:cs="Times New Roman"/>
          <w:sz w:val="24"/>
          <w:shd w:val="clear" w:color="auto" w:fill="FFFFFF"/>
        </w:rPr>
      </w:pPr>
    </w:p>
    <w:p w14:paraId="60A72A8A" w14:textId="77777777" w:rsidR="00E86DF3" w:rsidRDefault="00E86DF3">
      <w:pPr>
        <w:spacing w:line="276" w:lineRule="auto"/>
        <w:rPr>
          <w:rFonts w:ascii="Times New Roman" w:eastAsia="Segoe UI" w:hAnsi="Times New Roman" w:cs="Times New Roman"/>
          <w:sz w:val="24"/>
          <w:shd w:val="clear" w:color="auto" w:fill="FFFFFF"/>
        </w:rPr>
      </w:pPr>
    </w:p>
    <w:p w14:paraId="60A72A8B" w14:textId="77777777" w:rsidR="00E86DF3" w:rsidRDefault="00E86DF3">
      <w:pPr>
        <w:spacing w:line="276" w:lineRule="auto"/>
        <w:rPr>
          <w:rFonts w:ascii="Times New Roman" w:eastAsia="Segoe UI" w:hAnsi="Times New Roman" w:cs="Times New Roman"/>
          <w:sz w:val="24"/>
          <w:shd w:val="clear" w:color="auto" w:fill="FFFFFF"/>
        </w:rPr>
      </w:pPr>
    </w:p>
    <w:p w14:paraId="60A72A8C" w14:textId="77777777" w:rsidR="00E86DF3" w:rsidRDefault="00E86DF3">
      <w:pPr>
        <w:spacing w:line="276" w:lineRule="auto"/>
        <w:rPr>
          <w:rFonts w:ascii="Times New Roman" w:eastAsia="Segoe UI" w:hAnsi="Times New Roman" w:cs="Times New Roman"/>
          <w:sz w:val="24"/>
          <w:shd w:val="clear" w:color="auto" w:fill="FFFFFF"/>
        </w:rPr>
      </w:pPr>
    </w:p>
    <w:p w14:paraId="60A72A8D" w14:textId="77777777" w:rsidR="00E86DF3" w:rsidRDefault="00E86DF3">
      <w:pPr>
        <w:spacing w:line="276" w:lineRule="auto"/>
        <w:rPr>
          <w:rFonts w:ascii="Times New Roman" w:eastAsia="Segoe UI" w:hAnsi="Times New Roman" w:cs="Times New Roman"/>
          <w:sz w:val="24"/>
          <w:shd w:val="clear" w:color="auto" w:fill="FFFFFF"/>
        </w:rPr>
      </w:pPr>
    </w:p>
    <w:p w14:paraId="60A72A8E" w14:textId="77777777" w:rsidR="00E86DF3" w:rsidRDefault="00E86DF3">
      <w:pPr>
        <w:spacing w:line="276" w:lineRule="auto"/>
        <w:rPr>
          <w:rFonts w:ascii="Times New Roman" w:eastAsia="Segoe UI" w:hAnsi="Times New Roman" w:cs="Times New Roman"/>
          <w:sz w:val="24"/>
          <w:shd w:val="clear" w:color="auto" w:fill="FFFFFF"/>
        </w:rPr>
      </w:pPr>
    </w:p>
    <w:p w14:paraId="60A72A8F" w14:textId="77777777" w:rsidR="00E86DF3" w:rsidRDefault="00982083">
      <w:pPr>
        <w:spacing w:line="276" w:lineRule="auto"/>
        <w:jc w:val="center"/>
        <w:rPr>
          <w:rFonts w:ascii="Times New Roman" w:eastAsia="SimSun" w:hAnsi="Times New Roman" w:cs="Times New Roman"/>
          <w:sz w:val="24"/>
          <w:shd w:val="clear" w:color="auto" w:fill="FFFFFF"/>
        </w:rPr>
      </w:pPr>
      <w:r>
        <w:rPr>
          <w:rFonts w:ascii="Times New Roman" w:eastAsia="SimSun" w:hAnsi="Times New Roman" w:cs="Times New Roman" w:hint="eastAsia"/>
          <w:noProof/>
          <w:sz w:val="24"/>
          <w:shd w:val="clear" w:color="auto" w:fill="FFFFFF"/>
        </w:rPr>
        <w:lastRenderedPageBreak/>
        <w:drawing>
          <wp:inline distT="0" distB="0" distL="114300" distR="114300" wp14:anchorId="60A72AD3" wp14:editId="60A72AD4">
            <wp:extent cx="4140200" cy="3035935"/>
            <wp:effectExtent l="0" t="0" r="5080" b="12065"/>
            <wp:docPr id="1" name="图片 1" descr="Combined_Catch_FishingDays_NPFC_2005-2024_Glo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ombined_Catch_FishingDays_NPFC_2005-2024_Global"/>
                    <pic:cNvPicPr>
                      <a:picLocks noChangeAspect="1"/>
                    </pic:cNvPicPr>
                  </pic:nvPicPr>
                  <pic:blipFill>
                    <a:blip r:embed="rId7"/>
                    <a:stretch>
                      <a:fillRect/>
                    </a:stretch>
                  </pic:blipFill>
                  <pic:spPr>
                    <a:xfrm>
                      <a:off x="0" y="0"/>
                      <a:ext cx="4140200" cy="3035935"/>
                    </a:xfrm>
                    <a:prstGeom prst="rect">
                      <a:avLst/>
                    </a:prstGeom>
                  </pic:spPr>
                </pic:pic>
              </a:graphicData>
            </a:graphic>
          </wp:inline>
        </w:drawing>
      </w:r>
    </w:p>
    <w:p w14:paraId="60A72A90" w14:textId="77777777" w:rsidR="00E86DF3" w:rsidRDefault="00982083">
      <w:pPr>
        <w:rPr>
          <w:rFonts w:ascii="Times New Roman" w:hAnsi="Times New Roman" w:cs="Times New Roman"/>
          <w:szCs w:val="21"/>
        </w:rPr>
      </w:pPr>
      <w:r>
        <w:rPr>
          <w:rFonts w:ascii="Times New Roman" w:hAnsi="Times New Roman" w:cs="Times New Roman"/>
          <w:b/>
          <w:bCs/>
        </w:rPr>
        <w:t>Fig.</w:t>
      </w:r>
      <w:r>
        <w:rPr>
          <w:rFonts w:ascii="Times New Roman" w:hAnsi="Times New Roman" w:cs="Times New Roman" w:hint="eastAsia"/>
          <w:b/>
          <w:bCs/>
        </w:rPr>
        <w:t xml:space="preserve"> </w:t>
      </w:r>
      <w:r>
        <w:rPr>
          <w:rFonts w:ascii="Times New Roman" w:hAnsi="Times New Roman" w:cs="Times New Roman"/>
          <w:b/>
          <w:bCs/>
        </w:rPr>
        <w:t>1</w:t>
      </w:r>
      <w:r>
        <w:rPr>
          <w:rFonts w:ascii="Times New Roman" w:hAnsi="Times New Roman" w:cs="Times New Roman"/>
        </w:rPr>
        <w:t xml:space="preserve"> </w:t>
      </w:r>
      <w:r>
        <w:rPr>
          <w:rFonts w:ascii="Times New Roman" w:eastAsia="Segoe UI" w:hAnsi="Times New Roman" w:cs="Times New Roman"/>
          <w:color w:val="0F1115"/>
          <w:szCs w:val="21"/>
          <w:shd w:val="clear" w:color="auto" w:fill="FFFFFF"/>
        </w:rPr>
        <w:t xml:space="preserve">Annual catch and fishing effort (fishing days) of neon flying squid in the Northwest Pacific Ocean based on NPFC-compiled data from </w:t>
      </w:r>
      <w:r>
        <w:rPr>
          <w:rFonts w:ascii="Times New Roman" w:eastAsia="SimSun" w:hAnsi="Times New Roman" w:cs="Times New Roman" w:hint="eastAsia"/>
          <w:color w:val="0F1115"/>
          <w:szCs w:val="21"/>
          <w:shd w:val="clear" w:color="auto" w:fill="FFFFFF"/>
        </w:rPr>
        <w:t>all members</w:t>
      </w:r>
      <w:r>
        <w:rPr>
          <w:rFonts w:ascii="Times New Roman" w:eastAsia="Segoe UI" w:hAnsi="Times New Roman" w:cs="Times New Roman"/>
          <w:color w:val="0F1115"/>
          <w:szCs w:val="21"/>
          <w:shd w:val="clear" w:color="auto" w:fill="FFFFFF"/>
        </w:rPr>
        <w:t>, 2005–2024.</w:t>
      </w:r>
    </w:p>
    <w:p w14:paraId="60A72A91" w14:textId="77777777" w:rsidR="00E86DF3" w:rsidRDefault="00E86DF3">
      <w:pPr>
        <w:spacing w:line="276" w:lineRule="auto"/>
        <w:rPr>
          <w:rFonts w:ascii="Times New Roman" w:eastAsia="Segoe UI" w:hAnsi="Times New Roman" w:cs="Times New Roman"/>
          <w:sz w:val="24"/>
          <w:shd w:val="clear" w:color="auto" w:fill="FFFFFF"/>
        </w:rPr>
      </w:pPr>
    </w:p>
    <w:p w14:paraId="60A72A92" w14:textId="77777777" w:rsidR="00E86DF3" w:rsidRDefault="00982083">
      <w:pPr>
        <w:spacing w:line="276" w:lineRule="auto"/>
        <w:jc w:val="center"/>
        <w:rPr>
          <w:rFonts w:ascii="Times New Roman" w:eastAsia="Segoe UI" w:hAnsi="Times New Roman" w:cs="Times New Roman"/>
          <w:sz w:val="24"/>
          <w:shd w:val="clear" w:color="auto" w:fill="FFFFFF"/>
        </w:rPr>
      </w:pPr>
      <w:r>
        <w:rPr>
          <w:noProof/>
        </w:rPr>
        <w:drawing>
          <wp:inline distT="0" distB="0" distL="114300" distR="114300" wp14:anchorId="60A72AD5" wp14:editId="60A72AD6">
            <wp:extent cx="5160645" cy="2580005"/>
            <wp:effectExtent l="0" t="0" r="5715" b="10795"/>
            <wp:docPr id="12" name="图片 4" descr="Annual_NCPUE_2015-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Annual_NCPUE_2015-2024"/>
                    <pic:cNvPicPr>
                      <a:picLocks noChangeAspect="1"/>
                    </pic:cNvPicPr>
                  </pic:nvPicPr>
                  <pic:blipFill>
                    <a:blip r:embed="rId8"/>
                    <a:stretch>
                      <a:fillRect/>
                    </a:stretch>
                  </pic:blipFill>
                  <pic:spPr>
                    <a:xfrm>
                      <a:off x="0" y="0"/>
                      <a:ext cx="5160645" cy="2580005"/>
                    </a:xfrm>
                    <a:prstGeom prst="rect">
                      <a:avLst/>
                    </a:prstGeom>
                  </pic:spPr>
                </pic:pic>
              </a:graphicData>
            </a:graphic>
          </wp:inline>
        </w:drawing>
      </w:r>
    </w:p>
    <w:p w14:paraId="60A72A93" w14:textId="77777777" w:rsidR="00E86DF3" w:rsidRDefault="00982083">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 xml:space="preserve"> </w:t>
      </w:r>
      <w:r>
        <w:rPr>
          <w:rFonts w:ascii="Times New Roman" w:hAnsi="Times New Roman" w:cs="Times New Roman"/>
          <w:b/>
          <w:bCs/>
        </w:rPr>
        <w:t>2</w:t>
      </w:r>
      <w:r>
        <w:rPr>
          <w:rFonts w:ascii="Times New Roman" w:hAnsi="Times New Roman" w:cs="Times New Roman"/>
        </w:rPr>
        <w:t xml:space="preserve"> Nominal CPUE (catch per vessel-day) indices for neon flying squid derived from the Chinese squid-jigging fishery in the Northwest Pacific Ocean, 2005–2024.</w:t>
      </w:r>
    </w:p>
    <w:p w14:paraId="60A72A94" w14:textId="77777777" w:rsidR="00E86DF3" w:rsidRDefault="00E86DF3">
      <w:pPr>
        <w:spacing w:line="276" w:lineRule="auto"/>
        <w:rPr>
          <w:rFonts w:ascii="Times New Roman" w:eastAsia="Segoe UI" w:hAnsi="Times New Roman" w:cs="Times New Roman"/>
          <w:sz w:val="24"/>
          <w:shd w:val="clear" w:color="auto" w:fill="FFFFFF"/>
        </w:rPr>
      </w:pPr>
    </w:p>
    <w:p w14:paraId="60A72A95" w14:textId="77777777" w:rsidR="00E86DF3" w:rsidRDefault="00982083">
      <w:pPr>
        <w:spacing w:line="276" w:lineRule="auto"/>
        <w:jc w:val="center"/>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60A72AD7" wp14:editId="60A72AD8">
            <wp:extent cx="3239770" cy="3239770"/>
            <wp:effectExtent l="0" t="0" r="6350" b="6350"/>
            <wp:docPr id="4" name="图片 4" descr="Nominal_vs_Standardized_CPUE_Compariso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Nominal_vs_Standardized_CPUE_Comparison-7"/>
                    <pic:cNvPicPr>
                      <a:picLocks noChangeAspect="1"/>
                    </pic:cNvPicPr>
                  </pic:nvPicPr>
                  <pic:blipFill>
                    <a:blip r:embed="rId9"/>
                    <a:stretch>
                      <a:fillRect/>
                    </a:stretch>
                  </pic:blipFill>
                  <pic:spPr>
                    <a:xfrm>
                      <a:off x="0" y="0"/>
                      <a:ext cx="3239770" cy="3239770"/>
                    </a:xfrm>
                    <a:prstGeom prst="rect">
                      <a:avLst/>
                    </a:prstGeom>
                  </pic:spPr>
                </pic:pic>
              </a:graphicData>
            </a:graphic>
          </wp:inline>
        </w:drawing>
      </w:r>
    </w:p>
    <w:p w14:paraId="60A72A96" w14:textId="77777777" w:rsidR="00E86DF3" w:rsidRDefault="00982083">
      <w:pPr>
        <w:rPr>
          <w:rFonts w:ascii="Times New Roman" w:hAnsi="Times New Roman" w:cs="Times New Roman"/>
          <w:szCs w:val="21"/>
        </w:rPr>
      </w:pPr>
      <w:r>
        <w:rPr>
          <w:rFonts w:ascii="Times New Roman" w:hAnsi="Times New Roman" w:cs="Times New Roman"/>
          <w:b/>
          <w:bCs/>
          <w:szCs w:val="21"/>
        </w:rPr>
        <w:t xml:space="preserve">Fig. </w:t>
      </w:r>
      <w:r>
        <w:rPr>
          <w:rFonts w:ascii="Times New Roman" w:hAnsi="Times New Roman" w:cs="Times New Roman" w:hint="eastAsia"/>
          <w:b/>
          <w:bCs/>
          <w:szCs w:val="21"/>
        </w:rPr>
        <w:t>3</w:t>
      </w:r>
      <w:r>
        <w:rPr>
          <w:rFonts w:ascii="Times New Roman" w:hAnsi="Times New Roman" w:cs="Times New Roman"/>
          <w:szCs w:val="21"/>
        </w:rPr>
        <w:t xml:space="preserve"> Comparison of nominal and standardized CPUE indices for the winter-spring cohort, autumn cohort, and stock-</w:t>
      </w:r>
      <w:proofErr w:type="gramStart"/>
      <w:r>
        <w:rPr>
          <w:rFonts w:ascii="Times New Roman" w:hAnsi="Times New Roman" w:cs="Times New Roman"/>
          <w:szCs w:val="21"/>
        </w:rPr>
        <w:t>wide of</w:t>
      </w:r>
      <w:proofErr w:type="gramEnd"/>
      <w:r>
        <w:rPr>
          <w:rFonts w:ascii="Times New Roman" w:hAnsi="Times New Roman" w:cs="Times New Roman"/>
          <w:szCs w:val="21"/>
        </w:rPr>
        <w:t xml:space="preserve"> neon flying squid derived from three modeling approaches.</w:t>
      </w:r>
    </w:p>
    <w:p w14:paraId="60A72A97" w14:textId="77777777" w:rsidR="00E86DF3" w:rsidRDefault="00E86DF3">
      <w:pPr>
        <w:rPr>
          <w:rFonts w:ascii="Times New Roman" w:hAnsi="Times New Roman" w:cs="Times New Roman"/>
          <w:szCs w:val="21"/>
        </w:rPr>
      </w:pPr>
    </w:p>
    <w:p w14:paraId="60A72A98" w14:textId="77777777" w:rsidR="00E86DF3" w:rsidRDefault="00982083">
      <w:pPr>
        <w:spacing w:line="276" w:lineRule="auto"/>
        <w:jc w:val="center"/>
        <w:rPr>
          <w:rFonts w:ascii="Times New Roman" w:hAnsi="Times New Roman" w:cs="Times New Roman"/>
          <w:sz w:val="24"/>
        </w:rPr>
      </w:pPr>
      <w:r>
        <w:rPr>
          <w:rFonts w:ascii="Times New Roman" w:hAnsi="Times New Roman" w:cs="Times New Roman"/>
          <w:noProof/>
          <w:sz w:val="24"/>
        </w:rPr>
        <w:drawing>
          <wp:inline distT="0" distB="0" distL="114300" distR="114300" wp14:anchorId="60A72AD9" wp14:editId="60A72ADA">
            <wp:extent cx="5269865" cy="2633980"/>
            <wp:effectExtent l="0" t="0" r="3175" b="2540"/>
            <wp:docPr id="3" name="图片 3" descr="Wide_Cohort_RF_MCMC_全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ide_Cohort_RF_MCMC_全球"/>
                    <pic:cNvPicPr>
                      <a:picLocks noChangeAspect="1"/>
                    </pic:cNvPicPr>
                  </pic:nvPicPr>
                  <pic:blipFill>
                    <a:blip r:embed="rId10"/>
                    <a:stretch>
                      <a:fillRect/>
                    </a:stretch>
                  </pic:blipFill>
                  <pic:spPr>
                    <a:xfrm>
                      <a:off x="0" y="0"/>
                      <a:ext cx="5269865" cy="2633980"/>
                    </a:xfrm>
                    <a:prstGeom prst="rect">
                      <a:avLst/>
                    </a:prstGeom>
                  </pic:spPr>
                </pic:pic>
              </a:graphicData>
            </a:graphic>
          </wp:inline>
        </w:drawing>
      </w:r>
    </w:p>
    <w:p w14:paraId="60A72A99" w14:textId="77777777" w:rsidR="00E86DF3" w:rsidRDefault="00982083">
      <w:pPr>
        <w:rPr>
          <w:rFonts w:ascii="Times New Roman" w:hAnsi="Times New Roman" w:cs="Times New Roman"/>
        </w:rPr>
      </w:pPr>
      <w:r>
        <w:rPr>
          <w:rFonts w:ascii="Times New Roman" w:hAnsi="Times New Roman" w:cs="Times New Roman"/>
          <w:b/>
          <w:bCs/>
          <w:szCs w:val="21"/>
        </w:rPr>
        <w:t>Fig</w:t>
      </w:r>
      <w:r>
        <w:rPr>
          <w:rFonts w:ascii="Times New Roman" w:hAnsi="Times New Roman" w:cs="Times New Roman" w:hint="eastAsia"/>
          <w:b/>
          <w:bCs/>
          <w:szCs w:val="21"/>
        </w:rPr>
        <w:t xml:space="preserve">. </w:t>
      </w:r>
      <w:r>
        <w:rPr>
          <w:rFonts w:ascii="Times New Roman" w:hAnsi="Times New Roman" w:cs="Times New Roman"/>
          <w:b/>
          <w:bCs/>
          <w:szCs w:val="21"/>
        </w:rPr>
        <w:t xml:space="preserve">4 </w:t>
      </w:r>
      <w:r>
        <w:rPr>
          <w:rFonts w:ascii="Times New Roman" w:eastAsia="Segoe UI" w:hAnsi="Times New Roman" w:cs="Times New Roman"/>
          <w:color w:val="0F1115"/>
          <w:szCs w:val="21"/>
          <w:shd w:val="clear" w:color="auto" w:fill="FFFFFF"/>
        </w:rPr>
        <w:t>MCMC convergence diagnostics for the stock-wide assessment using RF-standardized CPUE.</w:t>
      </w:r>
    </w:p>
    <w:p w14:paraId="60A72A9A" w14:textId="77777777" w:rsidR="00E86DF3" w:rsidRDefault="00E86DF3">
      <w:pPr>
        <w:spacing w:line="276" w:lineRule="auto"/>
        <w:rPr>
          <w:rFonts w:ascii="Times New Roman" w:eastAsia="Segoe UI" w:hAnsi="Times New Roman" w:cs="Times New Roman"/>
          <w:sz w:val="24"/>
          <w:shd w:val="clear" w:color="auto" w:fill="FFFFFF"/>
        </w:rPr>
      </w:pPr>
    </w:p>
    <w:p w14:paraId="60A72A9B" w14:textId="77777777" w:rsidR="00E86DF3" w:rsidRDefault="00E86DF3">
      <w:pPr>
        <w:spacing w:line="276" w:lineRule="auto"/>
        <w:rPr>
          <w:rFonts w:ascii="Times New Roman" w:eastAsia="Segoe UI" w:hAnsi="Times New Roman" w:cs="Times New Roman"/>
          <w:sz w:val="24"/>
          <w:shd w:val="clear" w:color="auto" w:fill="FFFFFF"/>
        </w:rPr>
      </w:pPr>
    </w:p>
    <w:p w14:paraId="60A72A9C" w14:textId="77777777" w:rsidR="00E86DF3" w:rsidRDefault="00E86DF3">
      <w:pPr>
        <w:spacing w:line="276" w:lineRule="auto"/>
        <w:rPr>
          <w:rFonts w:ascii="Times New Roman" w:eastAsia="Segoe UI" w:hAnsi="Times New Roman" w:cs="Times New Roman"/>
          <w:sz w:val="24"/>
          <w:shd w:val="clear" w:color="auto" w:fill="FFFFFF"/>
        </w:rPr>
      </w:pPr>
    </w:p>
    <w:p w14:paraId="60A72A9D" w14:textId="77777777" w:rsidR="00E86DF3" w:rsidRDefault="00E86DF3">
      <w:pPr>
        <w:spacing w:line="276" w:lineRule="auto"/>
        <w:rPr>
          <w:rFonts w:ascii="Times New Roman" w:eastAsia="Segoe UI" w:hAnsi="Times New Roman" w:cs="Times New Roman"/>
          <w:sz w:val="24"/>
          <w:shd w:val="clear" w:color="auto" w:fill="FFFFFF"/>
        </w:rPr>
      </w:pPr>
    </w:p>
    <w:p w14:paraId="60A72A9E" w14:textId="77777777" w:rsidR="00E86DF3" w:rsidRDefault="00E86DF3">
      <w:pPr>
        <w:spacing w:line="276" w:lineRule="auto"/>
        <w:rPr>
          <w:rFonts w:ascii="Times New Roman" w:eastAsia="Segoe UI" w:hAnsi="Times New Roman" w:cs="Times New Roman"/>
          <w:sz w:val="24"/>
          <w:shd w:val="clear" w:color="auto" w:fill="FFFFFF"/>
        </w:rPr>
      </w:pPr>
    </w:p>
    <w:p w14:paraId="60A72A9F" w14:textId="77777777" w:rsidR="00E86DF3" w:rsidRDefault="00E86DF3">
      <w:pPr>
        <w:spacing w:line="276" w:lineRule="auto"/>
        <w:rPr>
          <w:rFonts w:ascii="Times New Roman" w:eastAsia="Segoe UI" w:hAnsi="Times New Roman" w:cs="Times New Roman"/>
          <w:sz w:val="24"/>
          <w:shd w:val="clear" w:color="auto" w:fill="FFFFFF"/>
        </w:rPr>
      </w:pPr>
    </w:p>
    <w:p w14:paraId="60A72AA0" w14:textId="77777777" w:rsidR="00E86DF3" w:rsidRDefault="00E86DF3">
      <w:pPr>
        <w:spacing w:line="276" w:lineRule="auto"/>
        <w:rPr>
          <w:rFonts w:ascii="Times New Roman" w:eastAsia="Segoe UI" w:hAnsi="Times New Roman" w:cs="Times New Roman"/>
          <w:sz w:val="24"/>
          <w:shd w:val="clear" w:color="auto" w:fill="FFFFFF"/>
        </w:rPr>
      </w:pPr>
    </w:p>
    <w:p w14:paraId="60A72AA1" w14:textId="77777777" w:rsidR="00E86DF3" w:rsidRDefault="00982083">
      <w:pPr>
        <w:spacing w:line="276" w:lineRule="auto"/>
        <w:jc w:val="center"/>
        <w:rPr>
          <w:rFonts w:ascii="Times New Roman" w:eastAsia="Segoe UI" w:hAnsi="Times New Roman" w:cs="Times New Roman"/>
          <w:sz w:val="24"/>
          <w:shd w:val="clear" w:color="auto" w:fill="FFFFFF"/>
        </w:rPr>
      </w:pPr>
      <w:r>
        <w:rPr>
          <w:rFonts w:ascii="Times New Roman" w:eastAsia="SimSun" w:hAnsi="Times New Roman" w:cs="Times New Roman" w:hint="eastAsia"/>
          <w:noProof/>
          <w:sz w:val="24"/>
          <w:shd w:val="clear" w:color="auto" w:fill="FFFFFF"/>
        </w:rPr>
        <w:lastRenderedPageBreak/>
        <w:drawing>
          <wp:inline distT="0" distB="0" distL="114300" distR="114300" wp14:anchorId="60A72ADB" wp14:editId="60A72ADC">
            <wp:extent cx="3975735" cy="2981325"/>
            <wp:effectExtent l="0" t="0" r="1905" b="5715"/>
            <wp:docPr id="5" name="图片 5" descr="Wide_Cohort_Nominal_CPUE_全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ide_Cohort_Nominal_CPUE_全球"/>
                    <pic:cNvPicPr>
                      <a:picLocks noChangeAspect="1"/>
                    </pic:cNvPicPr>
                  </pic:nvPicPr>
                  <pic:blipFill>
                    <a:blip r:embed="rId11"/>
                    <a:stretch>
                      <a:fillRect/>
                    </a:stretch>
                  </pic:blipFill>
                  <pic:spPr>
                    <a:xfrm>
                      <a:off x="0" y="0"/>
                      <a:ext cx="3975735" cy="2981325"/>
                    </a:xfrm>
                    <a:prstGeom prst="rect">
                      <a:avLst/>
                    </a:prstGeom>
                  </pic:spPr>
                </pic:pic>
              </a:graphicData>
            </a:graphic>
          </wp:inline>
        </w:drawing>
      </w:r>
    </w:p>
    <w:p w14:paraId="60A72AA2" w14:textId="77777777" w:rsidR="00E86DF3" w:rsidRDefault="00982083">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 xml:space="preserve"> </w:t>
      </w:r>
      <w:r>
        <w:rPr>
          <w:rFonts w:ascii="Times New Roman" w:hAnsi="Times New Roman" w:cs="Times New Roman"/>
          <w:b/>
          <w:bCs/>
        </w:rPr>
        <w:t>5</w:t>
      </w:r>
      <w:r>
        <w:rPr>
          <w:rFonts w:ascii="Times New Roman" w:hAnsi="Times New Roman" w:cs="Times New Roman"/>
        </w:rPr>
        <w:t xml:space="preserve"> </w:t>
      </w:r>
      <w:proofErr w:type="gramStart"/>
      <w:r>
        <w:rPr>
          <w:rFonts w:ascii="Times New Roman" w:eastAsia="Segoe UI" w:hAnsi="Times New Roman" w:cs="Times New Roman"/>
          <w:color w:val="0F1115"/>
          <w:szCs w:val="21"/>
          <w:shd w:val="clear" w:color="auto" w:fill="FFFFFF"/>
        </w:rPr>
        <w:t>Fit of</w:t>
      </w:r>
      <w:proofErr w:type="gramEnd"/>
      <w:r>
        <w:rPr>
          <w:rFonts w:ascii="Times New Roman" w:eastAsia="Segoe UI" w:hAnsi="Times New Roman" w:cs="Times New Roman"/>
          <w:color w:val="0F1115"/>
          <w:szCs w:val="21"/>
          <w:shd w:val="clear" w:color="auto" w:fill="FFFFFF"/>
        </w:rPr>
        <w:t xml:space="preserve"> the JABBA model to the nominal CPUE index for the stock-wide assessment.</w:t>
      </w:r>
    </w:p>
    <w:p w14:paraId="60A72AA3" w14:textId="77777777" w:rsidR="00E86DF3" w:rsidRDefault="00E86DF3">
      <w:pPr>
        <w:rPr>
          <w:rFonts w:ascii="Times New Roman" w:hAnsi="Times New Roman" w:cs="Times New Roman"/>
        </w:rPr>
      </w:pPr>
    </w:p>
    <w:p w14:paraId="60A72AA4" w14:textId="77777777" w:rsidR="00E86DF3" w:rsidRDefault="00982083">
      <w:pPr>
        <w:jc w:val="center"/>
        <w:rPr>
          <w:rFonts w:ascii="Times New Roman" w:hAnsi="Times New Roman" w:cs="Times New Roman"/>
        </w:rPr>
      </w:pPr>
      <w:r>
        <w:rPr>
          <w:noProof/>
        </w:rPr>
        <w:drawing>
          <wp:inline distT="0" distB="0" distL="114300" distR="114300" wp14:anchorId="60A72ADD" wp14:editId="60A72ADE">
            <wp:extent cx="4846955" cy="2908300"/>
            <wp:effectExtent l="0" t="0" r="14605" b="2540"/>
            <wp:docPr id="13" name="图片 3" descr="综合群体-nominal-残差图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综合群体-nominal-残差图s"/>
                    <pic:cNvPicPr>
                      <a:picLocks noChangeAspect="1"/>
                    </pic:cNvPicPr>
                  </pic:nvPicPr>
                  <pic:blipFill>
                    <a:blip r:embed="rId12"/>
                    <a:stretch>
                      <a:fillRect/>
                    </a:stretch>
                  </pic:blipFill>
                  <pic:spPr>
                    <a:xfrm>
                      <a:off x="0" y="0"/>
                      <a:ext cx="4846955" cy="2908300"/>
                    </a:xfrm>
                    <a:prstGeom prst="rect">
                      <a:avLst/>
                    </a:prstGeom>
                  </pic:spPr>
                </pic:pic>
              </a:graphicData>
            </a:graphic>
          </wp:inline>
        </w:drawing>
      </w:r>
    </w:p>
    <w:p w14:paraId="60A72AA5" w14:textId="77777777" w:rsidR="00E86DF3" w:rsidRDefault="00982083">
      <w:pPr>
        <w:rPr>
          <w:rFonts w:ascii="Times New Roman" w:hAnsi="Times New Roman" w:cs="Times New Roman"/>
          <w:szCs w:val="21"/>
        </w:rPr>
      </w:pPr>
      <w:r>
        <w:rPr>
          <w:rFonts w:ascii="Times New Roman" w:hAnsi="Times New Roman" w:cs="Times New Roman"/>
          <w:b/>
          <w:bCs/>
          <w:szCs w:val="21"/>
        </w:rPr>
        <w:t>Fig.</w:t>
      </w:r>
      <w:r>
        <w:rPr>
          <w:rFonts w:ascii="Times New Roman" w:hAnsi="Times New Roman" w:cs="Times New Roman" w:hint="eastAsia"/>
          <w:b/>
          <w:bCs/>
          <w:szCs w:val="21"/>
        </w:rPr>
        <w:t xml:space="preserve"> </w:t>
      </w:r>
      <w:r>
        <w:rPr>
          <w:rFonts w:ascii="Times New Roman" w:hAnsi="Times New Roman" w:cs="Times New Roman"/>
          <w:b/>
          <w:bCs/>
          <w:szCs w:val="21"/>
        </w:rPr>
        <w:t>6</w:t>
      </w:r>
      <w:r>
        <w:rPr>
          <w:rFonts w:ascii="Times New Roman" w:hAnsi="Times New Roman" w:cs="Times New Roman"/>
          <w:szCs w:val="21"/>
        </w:rPr>
        <w:t xml:space="preserve"> </w:t>
      </w:r>
      <w:r>
        <w:rPr>
          <w:rFonts w:ascii="Times New Roman" w:eastAsia="Segoe UI" w:hAnsi="Times New Roman" w:cs="Times New Roman"/>
          <w:color w:val="0F1115"/>
          <w:szCs w:val="21"/>
          <w:shd w:val="clear" w:color="auto" w:fill="FFFFFF"/>
        </w:rPr>
        <w:t xml:space="preserve">Standardized residual diagnostics </w:t>
      </w:r>
      <w:r>
        <w:rPr>
          <w:rFonts w:ascii="Times New Roman" w:hAnsi="Times New Roman" w:cs="Times New Roman"/>
          <w:szCs w:val="21"/>
        </w:rPr>
        <w:t xml:space="preserve">for the stock-wide assessment based on </w:t>
      </w:r>
      <w:r>
        <w:rPr>
          <w:rFonts w:ascii="Times New Roman" w:hAnsi="Times New Roman" w:cs="Times New Roman" w:hint="eastAsia"/>
          <w:szCs w:val="21"/>
        </w:rPr>
        <w:t xml:space="preserve">nominal </w:t>
      </w:r>
      <w:r>
        <w:rPr>
          <w:rFonts w:ascii="Times New Roman" w:hAnsi="Times New Roman" w:cs="Times New Roman"/>
          <w:szCs w:val="21"/>
        </w:rPr>
        <w:t>CPUE.</w:t>
      </w:r>
    </w:p>
    <w:p w14:paraId="60A72AA6" w14:textId="77777777" w:rsidR="00E86DF3" w:rsidRDefault="00E86DF3"/>
    <w:p w14:paraId="60A72AA7" w14:textId="77777777" w:rsidR="00E86DF3" w:rsidRDefault="00982083">
      <w:pPr>
        <w:jc w:val="center"/>
      </w:pPr>
      <w:r>
        <w:rPr>
          <w:rFonts w:hint="eastAsia"/>
          <w:noProof/>
        </w:rPr>
        <w:lastRenderedPageBreak/>
        <w:drawing>
          <wp:inline distT="0" distB="0" distL="114300" distR="114300" wp14:anchorId="60A72ADF" wp14:editId="60A72AE0">
            <wp:extent cx="4968240" cy="3313430"/>
            <wp:effectExtent l="0" t="0" r="0" b="8890"/>
            <wp:docPr id="7" name="图片 7" descr="先验后验Base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先验后验BaseCase"/>
                    <pic:cNvPicPr>
                      <a:picLocks noChangeAspect="1"/>
                    </pic:cNvPicPr>
                  </pic:nvPicPr>
                  <pic:blipFill>
                    <a:blip r:embed="rId13"/>
                    <a:stretch>
                      <a:fillRect/>
                    </a:stretch>
                  </pic:blipFill>
                  <pic:spPr>
                    <a:xfrm>
                      <a:off x="0" y="0"/>
                      <a:ext cx="4968240" cy="3313430"/>
                    </a:xfrm>
                    <a:prstGeom prst="rect">
                      <a:avLst/>
                    </a:prstGeom>
                  </pic:spPr>
                </pic:pic>
              </a:graphicData>
            </a:graphic>
          </wp:inline>
        </w:drawing>
      </w:r>
    </w:p>
    <w:p w14:paraId="60A72AA8" w14:textId="77777777" w:rsidR="00E86DF3" w:rsidRDefault="00982083">
      <w:pPr>
        <w:rPr>
          <w:rFonts w:ascii="Times New Roman" w:hAnsi="Times New Roman" w:cs="Times New Roman"/>
        </w:rPr>
      </w:pPr>
      <w:r>
        <w:rPr>
          <w:rFonts w:ascii="Times New Roman" w:hAnsi="Times New Roman" w:cs="Times New Roman"/>
          <w:b/>
          <w:bCs/>
        </w:rPr>
        <w:t>Fig. 7</w:t>
      </w:r>
      <w:r>
        <w:rPr>
          <w:rFonts w:ascii="Times New Roman" w:hAnsi="Times New Roman" w:cs="Times New Roman"/>
        </w:rPr>
        <w:t> Prior and posterior distributions of key parameters for the base-case scenario (stock-wide, RF-standardized CPUE).</w:t>
      </w:r>
    </w:p>
    <w:p w14:paraId="60A72AA9" w14:textId="77777777" w:rsidR="00E86DF3" w:rsidRDefault="00E86DF3"/>
    <w:p w14:paraId="60A72AAA" w14:textId="77777777" w:rsidR="00E86DF3" w:rsidRDefault="00982083">
      <w:pPr>
        <w:rPr>
          <w:rFonts w:ascii="Times New Roman" w:eastAsia="SimSun" w:hAnsi="Times New Roman" w:cs="Times New Roman"/>
          <w:sz w:val="24"/>
          <w:shd w:val="clear" w:color="auto" w:fill="FFFFFF"/>
        </w:rPr>
      </w:pPr>
      <w:r>
        <w:rPr>
          <w:noProof/>
        </w:rPr>
        <w:drawing>
          <wp:inline distT="0" distB="0" distL="114300" distR="114300" wp14:anchorId="60A72AE1" wp14:editId="60A72AE2">
            <wp:extent cx="5272405" cy="1965960"/>
            <wp:effectExtent l="0" t="0" r="635" b="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14"/>
                    <a:stretch>
                      <a:fillRect/>
                    </a:stretch>
                  </pic:blipFill>
                  <pic:spPr>
                    <a:xfrm>
                      <a:off x="0" y="0"/>
                      <a:ext cx="5272405" cy="1965960"/>
                    </a:xfrm>
                    <a:prstGeom prst="rect">
                      <a:avLst/>
                    </a:prstGeom>
                    <a:noFill/>
                    <a:ln>
                      <a:noFill/>
                    </a:ln>
                  </pic:spPr>
                </pic:pic>
              </a:graphicData>
            </a:graphic>
          </wp:inline>
        </w:drawing>
      </w:r>
    </w:p>
    <w:p w14:paraId="60A72AAB" w14:textId="77777777" w:rsidR="00E86DF3" w:rsidRDefault="00982083">
      <w:pPr>
        <w:rPr>
          <w:rFonts w:ascii="Times New Roman" w:eastAsia="SimSun" w:hAnsi="Times New Roman" w:cs="Times New Roman"/>
          <w:sz w:val="24"/>
          <w:shd w:val="clear" w:color="auto" w:fill="FFFFFF"/>
        </w:rPr>
      </w:pPr>
      <w:r>
        <w:rPr>
          <w:rFonts w:ascii="Times New Roman" w:hAnsi="Times New Roman" w:cs="Times New Roman"/>
          <w:b/>
          <w:bCs/>
          <w:szCs w:val="21"/>
        </w:rPr>
        <w:t>Fig</w:t>
      </w:r>
      <w:r>
        <w:rPr>
          <w:rFonts w:ascii="Times New Roman" w:hAnsi="Times New Roman" w:cs="Times New Roman" w:hint="eastAsia"/>
          <w:b/>
          <w:bCs/>
          <w:szCs w:val="21"/>
        </w:rPr>
        <w:t>. 8</w:t>
      </w:r>
      <w:r>
        <w:rPr>
          <w:rFonts w:ascii="Times New Roman" w:hAnsi="Times New Roman" w:cs="Times New Roman"/>
          <w:b/>
          <w:bCs/>
          <w:szCs w:val="21"/>
        </w:rPr>
        <w:t xml:space="preserve"> </w:t>
      </w:r>
      <w:r>
        <w:rPr>
          <w:rFonts w:ascii="Times New Roman" w:hAnsi="Times New Roman" w:cs="Times New Roman"/>
          <w:szCs w:val="21"/>
        </w:rPr>
        <w:t>Trajectories of B/B</w:t>
      </w:r>
      <w:r>
        <w:rPr>
          <w:rFonts w:ascii="Times New Roman" w:hAnsi="Times New Roman" w:cs="Times New Roman"/>
          <w:szCs w:val="21"/>
          <w:vertAlign w:val="subscript"/>
        </w:rPr>
        <w:t>MSY</w:t>
      </w:r>
      <w:r>
        <w:rPr>
          <w:rFonts w:ascii="Times New Roman" w:hAnsi="Times New Roman" w:cs="Times New Roman"/>
          <w:szCs w:val="21"/>
        </w:rPr>
        <w:t xml:space="preserve"> and F/F</w:t>
      </w:r>
      <w:r>
        <w:rPr>
          <w:rFonts w:ascii="Times New Roman" w:hAnsi="Times New Roman" w:cs="Times New Roman"/>
          <w:szCs w:val="21"/>
          <w:vertAlign w:val="subscript"/>
        </w:rPr>
        <w:t>MSY</w:t>
      </w:r>
      <w:r>
        <w:rPr>
          <w:rFonts w:ascii="Times New Roman" w:hAnsi="Times New Roman" w:cs="Times New Roman"/>
          <w:szCs w:val="21"/>
        </w:rPr>
        <w:t xml:space="preserve"> for the winter-spring cohort estimated from </w:t>
      </w:r>
      <w:r>
        <w:rPr>
          <w:rFonts w:ascii="Times New Roman" w:hAnsi="Times New Roman" w:cs="Times New Roman" w:hint="eastAsia"/>
          <w:szCs w:val="21"/>
        </w:rPr>
        <w:t>three</w:t>
      </w:r>
      <w:r>
        <w:rPr>
          <w:rFonts w:ascii="Times New Roman" w:hAnsi="Times New Roman" w:cs="Times New Roman"/>
          <w:szCs w:val="21"/>
        </w:rPr>
        <w:t xml:space="preserve"> abundance indices.</w:t>
      </w:r>
    </w:p>
    <w:p w14:paraId="60A72AAC" w14:textId="77777777" w:rsidR="00E86DF3" w:rsidRDefault="00982083">
      <w:pPr>
        <w:spacing w:line="276" w:lineRule="auto"/>
        <w:rPr>
          <w:rFonts w:ascii="Times New Roman" w:eastAsia="Segoe UI" w:hAnsi="Times New Roman" w:cs="Times New Roman"/>
          <w:sz w:val="24"/>
          <w:shd w:val="clear" w:color="auto" w:fill="FFFFFF"/>
        </w:rPr>
      </w:pPr>
      <w:r>
        <w:rPr>
          <w:noProof/>
        </w:rPr>
        <w:drawing>
          <wp:inline distT="0" distB="0" distL="114300" distR="114300" wp14:anchorId="60A72AE3" wp14:editId="60A72AE4">
            <wp:extent cx="5271135" cy="1969135"/>
            <wp:effectExtent l="0" t="0" r="1905" b="12065"/>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15"/>
                    <a:stretch>
                      <a:fillRect/>
                    </a:stretch>
                  </pic:blipFill>
                  <pic:spPr>
                    <a:xfrm>
                      <a:off x="0" y="0"/>
                      <a:ext cx="5271135" cy="1969135"/>
                    </a:xfrm>
                    <a:prstGeom prst="rect">
                      <a:avLst/>
                    </a:prstGeom>
                    <a:noFill/>
                    <a:ln>
                      <a:noFill/>
                    </a:ln>
                  </pic:spPr>
                </pic:pic>
              </a:graphicData>
            </a:graphic>
          </wp:inline>
        </w:drawing>
      </w:r>
    </w:p>
    <w:p w14:paraId="60A72AAD" w14:textId="77777777" w:rsidR="00E86DF3" w:rsidRDefault="00982083">
      <w:pPr>
        <w:rPr>
          <w:rFonts w:ascii="Times New Roman" w:hAnsi="Times New Roman" w:cs="Times New Roman"/>
          <w:sz w:val="24"/>
        </w:rPr>
      </w:pPr>
      <w:r>
        <w:rPr>
          <w:rFonts w:ascii="Times New Roman" w:hAnsi="Times New Roman" w:cs="Times New Roman"/>
          <w:b/>
          <w:bCs/>
        </w:rPr>
        <w:t>Fig.</w:t>
      </w:r>
      <w:r>
        <w:rPr>
          <w:rFonts w:ascii="Times New Roman" w:hAnsi="Times New Roman" w:cs="Times New Roman" w:hint="eastAsia"/>
          <w:b/>
          <w:bCs/>
        </w:rPr>
        <w:t xml:space="preserve"> 9</w:t>
      </w:r>
      <w:r>
        <w:rPr>
          <w:rFonts w:ascii="Times New Roman" w:hAnsi="Times New Roman" w:cs="Times New Roman"/>
        </w:rPr>
        <w:t xml:space="preserve"> Trajectories of B/B</w:t>
      </w:r>
      <w:r>
        <w:rPr>
          <w:rFonts w:ascii="Times New Roman" w:hAnsi="Times New Roman" w:cs="Times New Roman"/>
          <w:vertAlign w:val="subscript"/>
        </w:rPr>
        <w:t>MSY </w:t>
      </w:r>
      <w:r>
        <w:rPr>
          <w:rFonts w:ascii="Times New Roman" w:hAnsi="Times New Roman" w:cs="Times New Roman"/>
        </w:rPr>
        <w:t>(left) and F/F</w:t>
      </w:r>
      <w:r>
        <w:rPr>
          <w:rFonts w:ascii="Times New Roman" w:hAnsi="Times New Roman" w:cs="Times New Roman"/>
          <w:vertAlign w:val="subscript"/>
        </w:rPr>
        <w:t>MSY</w:t>
      </w:r>
      <w:r>
        <w:rPr>
          <w:rFonts w:ascii="Times New Roman" w:hAnsi="Times New Roman" w:cs="Times New Roman"/>
        </w:rPr>
        <w:t xml:space="preserve"> (right) for the autumn cohort estimated from </w:t>
      </w:r>
      <w:r>
        <w:rPr>
          <w:rFonts w:ascii="Times New Roman" w:hAnsi="Times New Roman" w:cs="Times New Roman" w:hint="eastAsia"/>
        </w:rPr>
        <w:t>three</w:t>
      </w:r>
      <w:r>
        <w:rPr>
          <w:rFonts w:ascii="Times New Roman" w:hAnsi="Times New Roman" w:cs="Times New Roman"/>
        </w:rPr>
        <w:t xml:space="preserve"> </w:t>
      </w:r>
      <w:r>
        <w:rPr>
          <w:rFonts w:ascii="Times New Roman" w:hAnsi="Times New Roman" w:cs="Times New Roman"/>
        </w:rPr>
        <w:lastRenderedPageBreak/>
        <w:t>abundance indices.</w:t>
      </w:r>
    </w:p>
    <w:p w14:paraId="60A72AAE" w14:textId="77777777" w:rsidR="00E86DF3" w:rsidRDefault="00E86DF3">
      <w:pPr>
        <w:spacing w:line="276" w:lineRule="auto"/>
        <w:rPr>
          <w:rFonts w:ascii="Times New Roman" w:eastAsia="Segoe UI" w:hAnsi="Times New Roman" w:cs="Times New Roman"/>
          <w:sz w:val="24"/>
          <w:shd w:val="clear" w:color="auto" w:fill="FFFFFF"/>
        </w:rPr>
      </w:pPr>
    </w:p>
    <w:p w14:paraId="60A72AAF" w14:textId="77777777" w:rsidR="00E86DF3" w:rsidRDefault="00982083">
      <w:pPr>
        <w:spacing w:line="276" w:lineRule="auto"/>
        <w:rPr>
          <w:rFonts w:ascii="Times New Roman" w:eastAsia="SimSun" w:hAnsi="Times New Roman" w:cs="Times New Roman"/>
          <w:sz w:val="24"/>
          <w:shd w:val="clear" w:color="auto" w:fill="FFFFFF"/>
        </w:rPr>
      </w:pPr>
      <w:r>
        <w:rPr>
          <w:noProof/>
        </w:rPr>
        <w:drawing>
          <wp:inline distT="0" distB="0" distL="114300" distR="114300" wp14:anchorId="60A72AE5" wp14:editId="60A72AE6">
            <wp:extent cx="5269865" cy="1970405"/>
            <wp:effectExtent l="0" t="0" r="3175" b="10795"/>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16"/>
                    <a:stretch>
                      <a:fillRect/>
                    </a:stretch>
                  </pic:blipFill>
                  <pic:spPr>
                    <a:xfrm>
                      <a:off x="0" y="0"/>
                      <a:ext cx="5269865" cy="1970405"/>
                    </a:xfrm>
                    <a:prstGeom prst="rect">
                      <a:avLst/>
                    </a:prstGeom>
                    <a:noFill/>
                    <a:ln>
                      <a:noFill/>
                    </a:ln>
                  </pic:spPr>
                </pic:pic>
              </a:graphicData>
            </a:graphic>
          </wp:inline>
        </w:drawing>
      </w:r>
    </w:p>
    <w:p w14:paraId="60A72AB0" w14:textId="77777777" w:rsidR="00E86DF3" w:rsidRDefault="00982083">
      <w:pPr>
        <w:rPr>
          <w:rFonts w:ascii="Times New Roman" w:hAnsi="Times New Roman" w:cs="Times New Roman"/>
          <w:szCs w:val="21"/>
        </w:rPr>
      </w:pPr>
      <w:r>
        <w:rPr>
          <w:rFonts w:ascii="Times New Roman" w:hAnsi="Times New Roman" w:cs="Times New Roman"/>
          <w:b/>
          <w:bCs/>
          <w:szCs w:val="21"/>
        </w:rPr>
        <w:t>Fig.</w:t>
      </w:r>
      <w:r>
        <w:rPr>
          <w:rFonts w:ascii="Times New Roman" w:hAnsi="Times New Roman" w:cs="Times New Roman" w:hint="eastAsia"/>
          <w:b/>
          <w:bCs/>
          <w:szCs w:val="21"/>
        </w:rPr>
        <w:t xml:space="preserve"> 10</w:t>
      </w:r>
      <w:r>
        <w:rPr>
          <w:rFonts w:ascii="Times New Roman" w:hAnsi="Times New Roman" w:cs="Times New Roman"/>
          <w:szCs w:val="21"/>
        </w:rPr>
        <w:t xml:space="preserve"> Trajectories of B/B</w:t>
      </w:r>
      <w:r>
        <w:rPr>
          <w:rFonts w:ascii="Times New Roman" w:hAnsi="Times New Roman" w:cs="Times New Roman"/>
          <w:szCs w:val="21"/>
          <w:vertAlign w:val="subscript"/>
        </w:rPr>
        <w:t>MSY</w:t>
      </w:r>
      <w:r>
        <w:rPr>
          <w:rFonts w:ascii="Times New Roman" w:hAnsi="Times New Roman" w:cs="Times New Roman"/>
          <w:szCs w:val="21"/>
        </w:rPr>
        <w:t> (left) and F/F</w:t>
      </w:r>
      <w:r>
        <w:rPr>
          <w:rFonts w:ascii="Times New Roman" w:hAnsi="Times New Roman" w:cs="Times New Roman"/>
          <w:szCs w:val="21"/>
          <w:vertAlign w:val="subscript"/>
        </w:rPr>
        <w:t>MSY</w:t>
      </w:r>
      <w:r>
        <w:rPr>
          <w:rFonts w:ascii="Times New Roman" w:hAnsi="Times New Roman" w:cs="Times New Roman"/>
          <w:szCs w:val="21"/>
        </w:rPr>
        <w:t xml:space="preserve"> (right) for the stock-wide population estimated from </w:t>
      </w:r>
      <w:r>
        <w:rPr>
          <w:rFonts w:ascii="Times New Roman" w:hAnsi="Times New Roman" w:cs="Times New Roman" w:hint="eastAsia"/>
          <w:szCs w:val="21"/>
        </w:rPr>
        <w:t>three</w:t>
      </w:r>
      <w:r>
        <w:rPr>
          <w:rFonts w:ascii="Times New Roman" w:hAnsi="Times New Roman" w:cs="Times New Roman"/>
          <w:szCs w:val="21"/>
        </w:rPr>
        <w:t xml:space="preserve"> abundance indices.</w:t>
      </w:r>
    </w:p>
    <w:p w14:paraId="60A72AB1" w14:textId="77777777" w:rsidR="00E86DF3" w:rsidRDefault="00E86DF3">
      <w:pPr>
        <w:spacing w:line="276" w:lineRule="auto"/>
        <w:rPr>
          <w:rFonts w:ascii="Times New Roman" w:eastAsia="Segoe UI" w:hAnsi="Times New Roman" w:cs="Times New Roman"/>
          <w:sz w:val="24"/>
          <w:shd w:val="clear" w:color="auto" w:fill="FFFFFF"/>
        </w:rPr>
      </w:pPr>
    </w:p>
    <w:p w14:paraId="60A72AB2" w14:textId="77777777" w:rsidR="00E86DF3" w:rsidRDefault="00982083">
      <w:pPr>
        <w:spacing w:line="276" w:lineRule="auto"/>
        <w:jc w:val="center"/>
        <w:rPr>
          <w:rFonts w:ascii="Times New Roman" w:eastAsia="SimSun" w:hAnsi="Times New Roman" w:cs="Times New Roman"/>
          <w:sz w:val="24"/>
          <w:shd w:val="clear" w:color="auto" w:fill="FFFFFF"/>
        </w:rPr>
      </w:pPr>
      <w:r>
        <w:rPr>
          <w:rFonts w:ascii="Times New Roman" w:eastAsia="SimSun" w:hAnsi="Times New Roman" w:cs="Times New Roman" w:hint="eastAsia"/>
          <w:noProof/>
          <w:sz w:val="24"/>
          <w:shd w:val="clear" w:color="auto" w:fill="FFFFFF"/>
        </w:rPr>
        <w:drawing>
          <wp:inline distT="0" distB="0" distL="114300" distR="114300" wp14:anchorId="60A72AE7" wp14:editId="60A72AE8">
            <wp:extent cx="4320540" cy="3239770"/>
            <wp:effectExtent l="0" t="0" r="7620" b="6350"/>
            <wp:docPr id="33" name="图片 33" descr="Wide_Cohort_RF_Retro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Wide_Cohort_RF_Retrospective"/>
                    <pic:cNvPicPr>
                      <a:picLocks noChangeAspect="1"/>
                    </pic:cNvPicPr>
                  </pic:nvPicPr>
                  <pic:blipFill>
                    <a:blip r:embed="rId17"/>
                    <a:stretch>
                      <a:fillRect/>
                    </a:stretch>
                  </pic:blipFill>
                  <pic:spPr>
                    <a:xfrm>
                      <a:off x="0" y="0"/>
                      <a:ext cx="4320540" cy="3239770"/>
                    </a:xfrm>
                    <a:prstGeom prst="rect">
                      <a:avLst/>
                    </a:prstGeom>
                  </pic:spPr>
                </pic:pic>
              </a:graphicData>
            </a:graphic>
          </wp:inline>
        </w:drawing>
      </w:r>
    </w:p>
    <w:p w14:paraId="60A72AB3" w14:textId="77777777" w:rsidR="00E86DF3" w:rsidRDefault="00982083">
      <w:pPr>
        <w:rPr>
          <w:rFonts w:ascii="Times New Roman" w:eastAsia="Segoe UI" w:hAnsi="Times New Roman" w:cs="Times New Roman"/>
          <w:sz w:val="24"/>
          <w:shd w:val="clear" w:color="auto" w:fill="FFFFFF"/>
        </w:rPr>
      </w:pPr>
      <w:r>
        <w:rPr>
          <w:rFonts w:ascii="Times New Roman" w:hAnsi="Times New Roman" w:cs="Times New Roman"/>
          <w:b/>
          <w:bCs/>
        </w:rPr>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11</w:t>
      </w:r>
      <w:r>
        <w:rPr>
          <w:rFonts w:ascii="Times New Roman" w:hAnsi="Times New Roman" w:cs="Times New Roman"/>
        </w:rPr>
        <w:t> Retrospective analysis for the stock-wide RF model.</w:t>
      </w:r>
    </w:p>
    <w:p w14:paraId="60A72AB4"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w:t>
      </w:r>
      <w:r>
        <w:rPr>
          <w:rFonts w:ascii="Times New Roman" w:eastAsia="SimSun" w:hAnsi="Times New Roman" w:cs="Times New Roman" w:hint="eastAsia"/>
          <w:noProof/>
          <w:sz w:val="24"/>
          <w:shd w:val="clear" w:color="auto" w:fill="FFFFFF"/>
        </w:rPr>
        <w:drawing>
          <wp:inline distT="0" distB="0" distL="114300" distR="114300" wp14:anchorId="60A72AE9" wp14:editId="60A72AEA">
            <wp:extent cx="2495550" cy="1871980"/>
            <wp:effectExtent l="0" t="0" r="3810" b="2540"/>
            <wp:docPr id="34" name="图片 34" descr="Forecast_全球_ModelComp_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orecast_全球_ModelComp_stock"/>
                    <pic:cNvPicPr>
                      <a:picLocks noChangeAspect="1"/>
                    </pic:cNvPicPr>
                  </pic:nvPicPr>
                  <pic:blipFill>
                    <a:blip r:embed="rId18"/>
                    <a:stretch>
                      <a:fillRect/>
                    </a:stretch>
                  </pic:blipFill>
                  <pic:spPr>
                    <a:xfrm>
                      <a:off x="0" y="0"/>
                      <a:ext cx="2495550" cy="1871980"/>
                    </a:xfrm>
                    <a:prstGeom prst="rect">
                      <a:avLst/>
                    </a:prstGeom>
                  </pic:spPr>
                </pic:pic>
              </a:graphicData>
            </a:graphic>
          </wp:inline>
        </w:drawing>
      </w:r>
      <w:r>
        <w:rPr>
          <w:rFonts w:ascii="Times New Roman" w:eastAsia="SimSun" w:hAnsi="Times New Roman" w:cs="Times New Roman" w:hint="eastAsia"/>
          <w:noProof/>
          <w:sz w:val="24"/>
          <w:shd w:val="clear" w:color="auto" w:fill="FFFFFF"/>
        </w:rPr>
        <w:drawing>
          <wp:inline distT="0" distB="0" distL="114300" distR="114300" wp14:anchorId="60A72AEB" wp14:editId="60A72AEC">
            <wp:extent cx="2496185" cy="1871980"/>
            <wp:effectExtent l="0" t="0" r="3175" b="2540"/>
            <wp:docPr id="35" name="图片 35" descr="Forecast_全球_ModelComp_ha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Forecast_全球_ModelComp_harvest"/>
                    <pic:cNvPicPr>
                      <a:picLocks noChangeAspect="1"/>
                    </pic:cNvPicPr>
                  </pic:nvPicPr>
                  <pic:blipFill>
                    <a:blip r:embed="rId19"/>
                    <a:stretch>
                      <a:fillRect/>
                    </a:stretch>
                  </pic:blipFill>
                  <pic:spPr>
                    <a:xfrm>
                      <a:off x="0" y="0"/>
                      <a:ext cx="2496185" cy="1871980"/>
                    </a:xfrm>
                    <a:prstGeom prst="rect">
                      <a:avLst/>
                    </a:prstGeom>
                  </pic:spPr>
                </pic:pic>
              </a:graphicData>
            </a:graphic>
          </wp:inline>
        </w:drawing>
      </w:r>
    </w:p>
    <w:p w14:paraId="60A72AB5" w14:textId="77777777" w:rsidR="00E86DF3" w:rsidRDefault="00982083">
      <w:pPr>
        <w:rPr>
          <w:rFonts w:ascii="Times New Roman" w:hAnsi="Times New Roman" w:cs="Times New Roman"/>
          <w:sz w:val="24"/>
          <w:shd w:val="clear" w:color="auto" w:fill="FFFFFF"/>
        </w:rPr>
      </w:pPr>
      <w:r>
        <w:rPr>
          <w:rFonts w:ascii="Times New Roman" w:hAnsi="Times New Roman" w:cs="Times New Roman"/>
          <w:b/>
          <w:bCs/>
        </w:rPr>
        <w:lastRenderedPageBreak/>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12</w:t>
      </w:r>
      <w:r>
        <w:rPr>
          <w:rFonts w:ascii="Times New Roman" w:hAnsi="Times New Roman" w:cs="Times New Roman"/>
        </w:rPr>
        <w:t xml:space="preserve"> Short-term (2025–2029) projections of B/B</w:t>
      </w:r>
      <w:r>
        <w:rPr>
          <w:rFonts w:ascii="Times New Roman" w:hAnsi="Times New Roman" w:cs="Times New Roman"/>
          <w:vertAlign w:val="subscript"/>
        </w:rPr>
        <w:t>MSY</w:t>
      </w:r>
      <w:r>
        <w:rPr>
          <w:rFonts w:ascii="Times New Roman" w:hAnsi="Times New Roman" w:cs="Times New Roman"/>
        </w:rPr>
        <w:t xml:space="preserve"> and F/F</w:t>
      </w:r>
      <w:r>
        <w:rPr>
          <w:rFonts w:ascii="Times New Roman" w:hAnsi="Times New Roman" w:cs="Times New Roman"/>
          <w:vertAlign w:val="subscript"/>
        </w:rPr>
        <w:t>MSY</w:t>
      </w:r>
      <w:r>
        <w:rPr>
          <w:rFonts w:ascii="Times New Roman" w:hAnsi="Times New Roman" w:cs="Times New Roman"/>
        </w:rPr>
        <w:t> for the stock-wide population under three constant catch scenarios, based on the RF-standardized CPUE assessment.</w:t>
      </w:r>
    </w:p>
    <w:p w14:paraId="60A72AB6" w14:textId="77777777" w:rsidR="00E86DF3" w:rsidRDefault="00E86DF3">
      <w:pPr>
        <w:spacing w:line="276" w:lineRule="auto"/>
        <w:rPr>
          <w:rFonts w:ascii="Times New Roman" w:hAnsi="Times New Roman" w:cs="Times New Roman"/>
          <w:sz w:val="24"/>
          <w:shd w:val="clear" w:color="auto" w:fill="FFFFFF"/>
        </w:rPr>
      </w:pPr>
    </w:p>
    <w:p w14:paraId="60A72AB7"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noProof/>
          <w:sz w:val="24"/>
          <w:shd w:val="clear" w:color="auto" w:fill="FFFFFF"/>
        </w:rPr>
        <w:drawing>
          <wp:inline distT="0" distB="0" distL="114300" distR="114300" wp14:anchorId="60A72AED" wp14:editId="60A72AEE">
            <wp:extent cx="2339975" cy="2339975"/>
            <wp:effectExtent l="0" t="0" r="6985" b="6985"/>
            <wp:docPr id="36" name="图片 36" descr="West_Nominal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West_Nominal_Kobe"/>
                    <pic:cNvPicPr>
                      <a:picLocks noChangeAspect="1"/>
                    </pic:cNvPicPr>
                  </pic:nvPicPr>
                  <pic:blipFill>
                    <a:blip r:embed="rId20"/>
                    <a:stretch>
                      <a:fillRect/>
                    </a:stretch>
                  </pic:blipFill>
                  <pic:spPr>
                    <a:xfrm>
                      <a:off x="0" y="0"/>
                      <a:ext cx="2339975" cy="2339975"/>
                    </a:xfrm>
                    <a:prstGeom prst="rect">
                      <a:avLst/>
                    </a:prstGeom>
                  </pic:spPr>
                </pic:pic>
              </a:graphicData>
            </a:graphic>
          </wp:inline>
        </w:drawing>
      </w:r>
      <w:r>
        <w:rPr>
          <w:rFonts w:ascii="Times New Roman" w:eastAsia="SimSun" w:hAnsi="Times New Roman" w:cs="Times New Roman" w:hint="eastAsia"/>
          <w:noProof/>
          <w:sz w:val="24"/>
          <w:shd w:val="clear" w:color="auto" w:fill="FFFFFF"/>
        </w:rPr>
        <w:drawing>
          <wp:inline distT="0" distB="0" distL="114300" distR="114300" wp14:anchorId="60A72AEF" wp14:editId="60A72AF0">
            <wp:extent cx="2339975" cy="2339975"/>
            <wp:effectExtent l="0" t="0" r="6985" b="6985"/>
            <wp:docPr id="37" name="图片 37" descr="West_GAM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West_GAM_Kobe"/>
                    <pic:cNvPicPr>
                      <a:picLocks noChangeAspect="1"/>
                    </pic:cNvPicPr>
                  </pic:nvPicPr>
                  <pic:blipFill>
                    <a:blip r:embed="rId21"/>
                    <a:stretch>
                      <a:fillRect/>
                    </a:stretch>
                  </pic:blipFill>
                  <pic:spPr>
                    <a:xfrm>
                      <a:off x="0" y="0"/>
                      <a:ext cx="2339975" cy="2339975"/>
                    </a:xfrm>
                    <a:prstGeom prst="rect">
                      <a:avLst/>
                    </a:prstGeom>
                  </pic:spPr>
                </pic:pic>
              </a:graphicData>
            </a:graphic>
          </wp:inline>
        </w:drawing>
      </w:r>
    </w:p>
    <w:p w14:paraId="60A72AB8"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(a)                          </w:t>
      </w:r>
      <w:proofErr w:type="gramStart"/>
      <w:r>
        <w:rPr>
          <w:rFonts w:ascii="Times New Roman" w:eastAsia="SimSun" w:hAnsi="Times New Roman" w:cs="Times New Roman" w:hint="eastAsia"/>
          <w:sz w:val="24"/>
          <w:shd w:val="clear" w:color="auto" w:fill="FFFFFF"/>
        </w:rPr>
        <w:t xml:space="preserve">   (</w:t>
      </w:r>
      <w:proofErr w:type="gramEnd"/>
      <w:r>
        <w:rPr>
          <w:rFonts w:ascii="Times New Roman" w:eastAsia="SimSun" w:hAnsi="Times New Roman" w:cs="Times New Roman" w:hint="eastAsia"/>
          <w:sz w:val="24"/>
          <w:shd w:val="clear" w:color="auto" w:fill="FFFFFF"/>
        </w:rPr>
        <w:t xml:space="preserve">b)  </w:t>
      </w:r>
    </w:p>
    <w:p w14:paraId="60A72AB9"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noProof/>
          <w:sz w:val="24"/>
          <w:shd w:val="clear" w:color="auto" w:fill="FFFFFF"/>
        </w:rPr>
        <w:drawing>
          <wp:inline distT="0" distB="0" distL="114300" distR="114300" wp14:anchorId="60A72AF1" wp14:editId="60A72AF2">
            <wp:extent cx="2339975" cy="2339975"/>
            <wp:effectExtent l="0" t="0" r="6985" b="6985"/>
            <wp:docPr id="38" name="图片 38" descr="West_RF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West_RF_Kobe"/>
                    <pic:cNvPicPr>
                      <a:picLocks noChangeAspect="1"/>
                    </pic:cNvPicPr>
                  </pic:nvPicPr>
                  <pic:blipFill>
                    <a:blip r:embed="rId22"/>
                    <a:stretch>
                      <a:fillRect/>
                    </a:stretch>
                  </pic:blipFill>
                  <pic:spPr>
                    <a:xfrm>
                      <a:off x="0" y="0"/>
                      <a:ext cx="2339975" cy="2339975"/>
                    </a:xfrm>
                    <a:prstGeom prst="rect">
                      <a:avLst/>
                    </a:prstGeom>
                  </pic:spPr>
                </pic:pic>
              </a:graphicData>
            </a:graphic>
          </wp:inline>
        </w:drawing>
      </w:r>
    </w:p>
    <w:p w14:paraId="60A72ABA" w14:textId="77777777" w:rsidR="00E86DF3" w:rsidRDefault="00982083">
      <w:pPr>
        <w:spacing w:line="276" w:lineRule="auto"/>
        <w:rPr>
          <w:rFonts w:ascii="Times New Roman" w:eastAsia="Segoe UI"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(c)</w:t>
      </w:r>
    </w:p>
    <w:p w14:paraId="60A72ABB" w14:textId="77777777" w:rsidR="00E86DF3" w:rsidRDefault="00982083">
      <w:pPr>
        <w:spacing w:line="276" w:lineRule="auto"/>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 xml:space="preserve"> 13</w:t>
      </w:r>
      <w:r>
        <w:rPr>
          <w:rFonts w:ascii="Times New Roman" w:hAnsi="Times New Roman" w:cs="Times New Roman"/>
        </w:rPr>
        <w:t xml:space="preserve"> Kobe phase plots for the winter-spring cohort under three abundance indices: (a) nominal CPUE, (b) GAM-standardized CPUE, and (c) RF-standardized CPUE.</w:t>
      </w:r>
    </w:p>
    <w:p w14:paraId="60A72ABC" w14:textId="77777777" w:rsidR="00E86DF3" w:rsidRDefault="00E86DF3">
      <w:pPr>
        <w:spacing w:line="276" w:lineRule="auto"/>
        <w:rPr>
          <w:rFonts w:ascii="Times New Roman" w:eastAsia="Segoe UI" w:hAnsi="Times New Roman" w:cs="Times New Roman"/>
          <w:sz w:val="24"/>
          <w:shd w:val="clear" w:color="auto" w:fill="FFFFFF"/>
        </w:rPr>
      </w:pPr>
    </w:p>
    <w:p w14:paraId="60A72ABD" w14:textId="77777777" w:rsidR="00E86DF3" w:rsidRDefault="00E86DF3">
      <w:pPr>
        <w:spacing w:line="276" w:lineRule="auto"/>
        <w:rPr>
          <w:rFonts w:ascii="Times New Roman" w:eastAsia="Segoe UI" w:hAnsi="Times New Roman" w:cs="Times New Roman"/>
          <w:sz w:val="24"/>
          <w:shd w:val="clear" w:color="auto" w:fill="FFFFFF"/>
        </w:rPr>
      </w:pPr>
    </w:p>
    <w:p w14:paraId="60A72ABE" w14:textId="77777777" w:rsidR="00E86DF3" w:rsidRDefault="00E86DF3">
      <w:pPr>
        <w:spacing w:line="276" w:lineRule="auto"/>
        <w:rPr>
          <w:rFonts w:ascii="Times New Roman" w:eastAsia="Segoe UI" w:hAnsi="Times New Roman" w:cs="Times New Roman"/>
          <w:sz w:val="24"/>
          <w:shd w:val="clear" w:color="auto" w:fill="FFFFFF"/>
        </w:rPr>
      </w:pPr>
    </w:p>
    <w:p w14:paraId="60A72ABF" w14:textId="77777777" w:rsidR="00E86DF3" w:rsidRDefault="00E86DF3">
      <w:pPr>
        <w:spacing w:line="276" w:lineRule="auto"/>
        <w:rPr>
          <w:rFonts w:ascii="Times New Roman" w:eastAsia="Segoe UI" w:hAnsi="Times New Roman" w:cs="Times New Roman"/>
          <w:sz w:val="24"/>
          <w:shd w:val="clear" w:color="auto" w:fill="FFFFFF"/>
        </w:rPr>
      </w:pPr>
    </w:p>
    <w:p w14:paraId="60A72AC0" w14:textId="77777777" w:rsidR="00E86DF3" w:rsidRDefault="00E86DF3">
      <w:pPr>
        <w:spacing w:line="276" w:lineRule="auto"/>
        <w:rPr>
          <w:rFonts w:ascii="Times New Roman" w:eastAsia="Segoe UI" w:hAnsi="Times New Roman" w:cs="Times New Roman"/>
          <w:sz w:val="24"/>
          <w:shd w:val="clear" w:color="auto" w:fill="FFFFFF"/>
        </w:rPr>
      </w:pPr>
    </w:p>
    <w:p w14:paraId="60A72AC1"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lastRenderedPageBreak/>
        <w:t xml:space="preserve">    </w:t>
      </w:r>
      <w:r>
        <w:rPr>
          <w:rFonts w:ascii="Times New Roman" w:eastAsia="SimSun" w:hAnsi="Times New Roman" w:cs="Times New Roman" w:hint="eastAsia"/>
          <w:noProof/>
          <w:sz w:val="24"/>
          <w:shd w:val="clear" w:color="auto" w:fill="FFFFFF"/>
        </w:rPr>
        <w:drawing>
          <wp:inline distT="0" distB="0" distL="114300" distR="114300" wp14:anchorId="60A72AF3" wp14:editId="60A72AF4">
            <wp:extent cx="2339975" cy="2339975"/>
            <wp:effectExtent l="0" t="0" r="6985" b="6985"/>
            <wp:docPr id="39" name="图片 39" descr="East_Nominal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East_Nominal_Kobe"/>
                    <pic:cNvPicPr>
                      <a:picLocks noChangeAspect="1"/>
                    </pic:cNvPicPr>
                  </pic:nvPicPr>
                  <pic:blipFill>
                    <a:blip r:embed="rId23"/>
                    <a:stretch>
                      <a:fillRect/>
                    </a:stretch>
                  </pic:blipFill>
                  <pic:spPr>
                    <a:xfrm>
                      <a:off x="0" y="0"/>
                      <a:ext cx="2339975" cy="2339975"/>
                    </a:xfrm>
                    <a:prstGeom prst="rect">
                      <a:avLst/>
                    </a:prstGeom>
                  </pic:spPr>
                </pic:pic>
              </a:graphicData>
            </a:graphic>
          </wp:inline>
        </w:drawing>
      </w:r>
      <w:r>
        <w:rPr>
          <w:rFonts w:ascii="Times New Roman" w:eastAsia="SimSun" w:hAnsi="Times New Roman" w:cs="Times New Roman" w:hint="eastAsia"/>
          <w:noProof/>
          <w:sz w:val="24"/>
          <w:shd w:val="clear" w:color="auto" w:fill="FFFFFF"/>
        </w:rPr>
        <w:drawing>
          <wp:inline distT="0" distB="0" distL="114300" distR="114300" wp14:anchorId="60A72AF5" wp14:editId="60A72AF6">
            <wp:extent cx="2339975" cy="2339975"/>
            <wp:effectExtent l="0" t="0" r="6985" b="6985"/>
            <wp:docPr id="40" name="图片 40" descr="East_GAM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East_GAM_Kobe"/>
                    <pic:cNvPicPr>
                      <a:picLocks noChangeAspect="1"/>
                    </pic:cNvPicPr>
                  </pic:nvPicPr>
                  <pic:blipFill>
                    <a:blip r:embed="rId24"/>
                    <a:stretch>
                      <a:fillRect/>
                    </a:stretch>
                  </pic:blipFill>
                  <pic:spPr>
                    <a:xfrm>
                      <a:off x="0" y="0"/>
                      <a:ext cx="2339975" cy="2339975"/>
                    </a:xfrm>
                    <a:prstGeom prst="rect">
                      <a:avLst/>
                    </a:prstGeom>
                  </pic:spPr>
                </pic:pic>
              </a:graphicData>
            </a:graphic>
          </wp:inline>
        </w:drawing>
      </w:r>
    </w:p>
    <w:p w14:paraId="60A72AC2"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(a)                          </w:t>
      </w:r>
      <w:proofErr w:type="gramStart"/>
      <w:r>
        <w:rPr>
          <w:rFonts w:ascii="Times New Roman" w:eastAsia="SimSun" w:hAnsi="Times New Roman" w:cs="Times New Roman" w:hint="eastAsia"/>
          <w:sz w:val="24"/>
          <w:shd w:val="clear" w:color="auto" w:fill="FFFFFF"/>
        </w:rPr>
        <w:t xml:space="preserve">   (</w:t>
      </w:r>
      <w:proofErr w:type="gramEnd"/>
      <w:r>
        <w:rPr>
          <w:rFonts w:ascii="Times New Roman" w:eastAsia="SimSun" w:hAnsi="Times New Roman" w:cs="Times New Roman" w:hint="eastAsia"/>
          <w:sz w:val="24"/>
          <w:shd w:val="clear" w:color="auto" w:fill="FFFFFF"/>
        </w:rPr>
        <w:t xml:space="preserve">b)  </w:t>
      </w:r>
    </w:p>
    <w:p w14:paraId="60A72AC3"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w:t>
      </w:r>
      <w:r>
        <w:rPr>
          <w:rFonts w:ascii="Times New Roman" w:eastAsia="SimSun" w:hAnsi="Times New Roman" w:cs="Times New Roman"/>
          <w:noProof/>
          <w:sz w:val="24"/>
          <w:shd w:val="clear" w:color="auto" w:fill="FFFFFF"/>
        </w:rPr>
        <w:drawing>
          <wp:inline distT="0" distB="0" distL="114300" distR="114300" wp14:anchorId="60A72AF7" wp14:editId="60A72AF8">
            <wp:extent cx="2339975" cy="2339975"/>
            <wp:effectExtent l="0" t="0" r="6985" b="6985"/>
            <wp:docPr id="41" name="图片 41" descr="East_RF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East_RF_Kobe"/>
                    <pic:cNvPicPr>
                      <a:picLocks noChangeAspect="1"/>
                    </pic:cNvPicPr>
                  </pic:nvPicPr>
                  <pic:blipFill>
                    <a:blip r:embed="rId25"/>
                    <a:stretch>
                      <a:fillRect/>
                    </a:stretch>
                  </pic:blipFill>
                  <pic:spPr>
                    <a:xfrm>
                      <a:off x="0" y="0"/>
                      <a:ext cx="2339975" cy="2339975"/>
                    </a:xfrm>
                    <a:prstGeom prst="rect">
                      <a:avLst/>
                    </a:prstGeom>
                  </pic:spPr>
                </pic:pic>
              </a:graphicData>
            </a:graphic>
          </wp:inline>
        </w:drawing>
      </w:r>
    </w:p>
    <w:p w14:paraId="60A72AC4"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(c)</w:t>
      </w:r>
    </w:p>
    <w:p w14:paraId="60A72AC5" w14:textId="77777777" w:rsidR="00E86DF3" w:rsidRDefault="00982083">
      <w:pPr>
        <w:spacing w:line="276" w:lineRule="auto"/>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 xml:space="preserve"> 14</w:t>
      </w:r>
      <w:r>
        <w:rPr>
          <w:rFonts w:ascii="Times New Roman" w:hAnsi="Times New Roman" w:cs="Times New Roman"/>
        </w:rPr>
        <w:t xml:space="preserve"> Kobe phase plots for the </w:t>
      </w:r>
      <w:r>
        <w:rPr>
          <w:rFonts w:ascii="Times New Roman" w:hAnsi="Times New Roman" w:cs="Times New Roman" w:hint="eastAsia"/>
        </w:rPr>
        <w:t>autumn</w:t>
      </w:r>
      <w:r>
        <w:rPr>
          <w:rFonts w:ascii="Times New Roman" w:hAnsi="Times New Roman" w:cs="Times New Roman"/>
        </w:rPr>
        <w:t xml:space="preserve"> cohort under three abundance indices: (a) nominal CPUE, (b) GAM-standardized CPUE, and (c) RF-standardized CPUE.</w:t>
      </w:r>
    </w:p>
    <w:p w14:paraId="60A72AC6" w14:textId="77777777" w:rsidR="00E86DF3" w:rsidRDefault="00E86DF3">
      <w:pPr>
        <w:spacing w:line="276" w:lineRule="auto"/>
        <w:rPr>
          <w:rFonts w:ascii="Times New Roman" w:eastAsia="SimSun" w:hAnsi="Times New Roman" w:cs="Times New Roman"/>
          <w:sz w:val="24"/>
          <w:shd w:val="clear" w:color="auto" w:fill="FFFFFF"/>
        </w:rPr>
      </w:pPr>
    </w:p>
    <w:p w14:paraId="60A72AC7" w14:textId="77777777" w:rsidR="00E86DF3" w:rsidRDefault="00E86DF3">
      <w:pPr>
        <w:spacing w:line="276" w:lineRule="auto"/>
        <w:rPr>
          <w:rFonts w:ascii="Times New Roman" w:eastAsia="SimSun" w:hAnsi="Times New Roman" w:cs="Times New Roman"/>
          <w:sz w:val="24"/>
          <w:shd w:val="clear" w:color="auto" w:fill="FFFFFF"/>
        </w:rPr>
      </w:pPr>
    </w:p>
    <w:p w14:paraId="60A72AC8" w14:textId="77777777" w:rsidR="00E86DF3" w:rsidRDefault="00E86DF3">
      <w:pPr>
        <w:spacing w:line="276" w:lineRule="auto"/>
        <w:rPr>
          <w:rFonts w:ascii="Times New Roman" w:eastAsia="SimSun" w:hAnsi="Times New Roman" w:cs="Times New Roman"/>
          <w:sz w:val="24"/>
          <w:shd w:val="clear" w:color="auto" w:fill="FFFFFF"/>
        </w:rPr>
      </w:pPr>
    </w:p>
    <w:p w14:paraId="60A72AC9" w14:textId="77777777" w:rsidR="00E86DF3" w:rsidRDefault="00E86DF3">
      <w:pPr>
        <w:spacing w:line="276" w:lineRule="auto"/>
        <w:rPr>
          <w:rFonts w:ascii="Times New Roman" w:eastAsia="SimSun" w:hAnsi="Times New Roman" w:cs="Times New Roman"/>
          <w:sz w:val="24"/>
          <w:shd w:val="clear" w:color="auto" w:fill="FFFFFF"/>
        </w:rPr>
      </w:pPr>
    </w:p>
    <w:p w14:paraId="60A72ACA" w14:textId="77777777" w:rsidR="00E86DF3" w:rsidRDefault="00E86DF3">
      <w:pPr>
        <w:spacing w:line="276" w:lineRule="auto"/>
        <w:rPr>
          <w:rFonts w:ascii="Times New Roman" w:eastAsia="SimSun" w:hAnsi="Times New Roman" w:cs="Times New Roman"/>
          <w:sz w:val="24"/>
          <w:shd w:val="clear" w:color="auto" w:fill="FFFFFF"/>
        </w:rPr>
      </w:pPr>
    </w:p>
    <w:p w14:paraId="60A72ACB"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noProof/>
          <w:sz w:val="24"/>
          <w:shd w:val="clear" w:color="auto" w:fill="FFFFFF"/>
        </w:rPr>
        <w:lastRenderedPageBreak/>
        <w:drawing>
          <wp:inline distT="0" distB="0" distL="114300" distR="114300" wp14:anchorId="60A72AF9" wp14:editId="60A72AFA">
            <wp:extent cx="2339975" cy="2339975"/>
            <wp:effectExtent l="0" t="0" r="6985" b="6985"/>
            <wp:docPr id="42" name="图片 42" descr="Wide_Nominal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Wide_Nominal_Kobe"/>
                    <pic:cNvPicPr>
                      <a:picLocks noChangeAspect="1"/>
                    </pic:cNvPicPr>
                  </pic:nvPicPr>
                  <pic:blipFill>
                    <a:blip r:embed="rId26"/>
                    <a:stretch>
                      <a:fillRect/>
                    </a:stretch>
                  </pic:blipFill>
                  <pic:spPr>
                    <a:xfrm>
                      <a:off x="0" y="0"/>
                      <a:ext cx="2339975" cy="2339975"/>
                    </a:xfrm>
                    <a:prstGeom prst="rect">
                      <a:avLst/>
                    </a:prstGeom>
                  </pic:spPr>
                </pic:pic>
              </a:graphicData>
            </a:graphic>
          </wp:inline>
        </w:drawing>
      </w:r>
      <w:r>
        <w:rPr>
          <w:rFonts w:ascii="Times New Roman" w:eastAsia="SimSun" w:hAnsi="Times New Roman" w:cs="Times New Roman"/>
          <w:noProof/>
          <w:sz w:val="24"/>
          <w:shd w:val="clear" w:color="auto" w:fill="FFFFFF"/>
        </w:rPr>
        <w:drawing>
          <wp:inline distT="0" distB="0" distL="114300" distR="114300" wp14:anchorId="60A72AFB" wp14:editId="60A72AFC">
            <wp:extent cx="2339975" cy="2339975"/>
            <wp:effectExtent l="0" t="0" r="6985" b="6985"/>
            <wp:docPr id="43" name="图片 43" descr="Wide_GAM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Wide_GAM_Kobe"/>
                    <pic:cNvPicPr>
                      <a:picLocks noChangeAspect="1"/>
                    </pic:cNvPicPr>
                  </pic:nvPicPr>
                  <pic:blipFill>
                    <a:blip r:embed="rId27"/>
                    <a:stretch>
                      <a:fillRect/>
                    </a:stretch>
                  </pic:blipFill>
                  <pic:spPr>
                    <a:xfrm>
                      <a:off x="0" y="0"/>
                      <a:ext cx="2339975" cy="2339975"/>
                    </a:xfrm>
                    <a:prstGeom prst="rect">
                      <a:avLst/>
                    </a:prstGeom>
                  </pic:spPr>
                </pic:pic>
              </a:graphicData>
            </a:graphic>
          </wp:inline>
        </w:drawing>
      </w:r>
    </w:p>
    <w:p w14:paraId="60A72ACC"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(a)                           </w:t>
      </w:r>
      <w:proofErr w:type="gramStart"/>
      <w:r>
        <w:rPr>
          <w:rFonts w:ascii="Times New Roman" w:eastAsia="SimSun" w:hAnsi="Times New Roman" w:cs="Times New Roman" w:hint="eastAsia"/>
          <w:sz w:val="24"/>
          <w:shd w:val="clear" w:color="auto" w:fill="FFFFFF"/>
        </w:rPr>
        <w:t xml:space="preserve">   (</w:t>
      </w:r>
      <w:proofErr w:type="gramEnd"/>
      <w:r>
        <w:rPr>
          <w:rFonts w:ascii="Times New Roman" w:eastAsia="SimSun" w:hAnsi="Times New Roman" w:cs="Times New Roman" w:hint="eastAsia"/>
          <w:sz w:val="24"/>
          <w:shd w:val="clear" w:color="auto" w:fill="FFFFFF"/>
        </w:rPr>
        <w:t xml:space="preserve">b)  </w:t>
      </w:r>
    </w:p>
    <w:p w14:paraId="60A72ACD"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noProof/>
          <w:sz w:val="24"/>
          <w:shd w:val="clear" w:color="auto" w:fill="FFFFFF"/>
        </w:rPr>
        <w:drawing>
          <wp:inline distT="0" distB="0" distL="114300" distR="114300" wp14:anchorId="60A72AFD" wp14:editId="60A72AFE">
            <wp:extent cx="2339975" cy="2339975"/>
            <wp:effectExtent l="0" t="0" r="6985" b="6985"/>
            <wp:docPr id="44" name="图片 44" descr="Wide_RF_K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Wide_RF_Kobe"/>
                    <pic:cNvPicPr>
                      <a:picLocks noChangeAspect="1"/>
                    </pic:cNvPicPr>
                  </pic:nvPicPr>
                  <pic:blipFill>
                    <a:blip r:embed="rId28"/>
                    <a:stretch>
                      <a:fillRect/>
                    </a:stretch>
                  </pic:blipFill>
                  <pic:spPr>
                    <a:xfrm>
                      <a:off x="0" y="0"/>
                      <a:ext cx="2339975" cy="2339975"/>
                    </a:xfrm>
                    <a:prstGeom prst="rect">
                      <a:avLst/>
                    </a:prstGeom>
                  </pic:spPr>
                </pic:pic>
              </a:graphicData>
            </a:graphic>
          </wp:inline>
        </w:drawing>
      </w:r>
    </w:p>
    <w:p w14:paraId="60A72ACE" w14:textId="77777777" w:rsidR="00E86DF3" w:rsidRDefault="00982083">
      <w:pPr>
        <w:spacing w:line="276" w:lineRule="auto"/>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               (c)</w:t>
      </w:r>
    </w:p>
    <w:p w14:paraId="60A72ACF" w14:textId="77777777" w:rsidR="00E86DF3" w:rsidRDefault="00982083">
      <w:pPr>
        <w:spacing w:line="276" w:lineRule="auto"/>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 xml:space="preserve"> 15</w:t>
      </w:r>
      <w:r>
        <w:rPr>
          <w:rFonts w:ascii="Times New Roman" w:hAnsi="Times New Roman" w:cs="Times New Roman"/>
        </w:rPr>
        <w:t xml:space="preserve"> Kobe phase plots for the </w:t>
      </w:r>
      <w:r>
        <w:rPr>
          <w:rFonts w:ascii="Times New Roman" w:hAnsi="Times New Roman" w:cs="Times New Roman" w:hint="eastAsia"/>
        </w:rPr>
        <w:t>stock-wide</w:t>
      </w:r>
      <w:r>
        <w:rPr>
          <w:rFonts w:ascii="Times New Roman" w:hAnsi="Times New Roman" w:cs="Times New Roman"/>
        </w:rPr>
        <w:t xml:space="preserve"> cohort under three abundance indices: (a) nominal CPUE, (b) GAM-standardized CPUE, and (c) RF-standardized CPUE.</w:t>
      </w:r>
    </w:p>
    <w:p w14:paraId="60A72AD0" w14:textId="77777777" w:rsidR="00E86DF3" w:rsidRDefault="00E86DF3">
      <w:pPr>
        <w:spacing w:line="276" w:lineRule="auto"/>
        <w:rPr>
          <w:rFonts w:ascii="Times New Roman" w:eastAsia="SimSun" w:hAnsi="Times New Roman" w:cs="Times New Roman"/>
          <w:sz w:val="24"/>
          <w:shd w:val="clear" w:color="auto" w:fill="FFFFFF"/>
        </w:rPr>
      </w:pPr>
    </w:p>
    <w:p w14:paraId="60A72AD1" w14:textId="77777777" w:rsidR="00E86DF3" w:rsidRDefault="00E86DF3">
      <w:pPr>
        <w:spacing w:line="276" w:lineRule="auto"/>
        <w:rPr>
          <w:rFonts w:ascii="Times New Roman" w:eastAsia="SimSun" w:hAnsi="Times New Roman" w:cs="Times New Roman"/>
          <w:sz w:val="24"/>
          <w:shd w:val="clear" w:color="auto" w:fill="FFFFFF"/>
        </w:rPr>
      </w:pPr>
    </w:p>
    <w:p w14:paraId="60A72AD2" w14:textId="77777777" w:rsidR="00E86DF3" w:rsidRDefault="00E86DF3">
      <w:pPr>
        <w:spacing w:line="276" w:lineRule="auto"/>
        <w:rPr>
          <w:rFonts w:ascii="Times New Roman" w:eastAsia="SimSun" w:hAnsi="Times New Roman" w:cs="Times New Roman"/>
          <w:sz w:val="24"/>
          <w:shd w:val="clear" w:color="auto" w:fill="FFFFFF"/>
        </w:rPr>
      </w:pPr>
    </w:p>
    <w:sectPr w:rsidR="00E86DF3">
      <w:headerReference w:type="default" r:id="rId29"/>
      <w:headerReference w:type="first" r:id="rId30"/>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609F" w14:textId="77777777" w:rsidR="00982083" w:rsidRDefault="00982083">
      <w:r>
        <w:separator/>
      </w:r>
    </w:p>
  </w:endnote>
  <w:endnote w:type="continuationSeparator" w:id="0">
    <w:p w14:paraId="70001656" w14:textId="77777777" w:rsidR="00982083" w:rsidRDefault="0098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yriad Pro">
    <w:altName w:val="Verdana"/>
    <w:charset w:val="00"/>
    <w:family w:val="swiss"/>
    <w:pitch w:val="default"/>
    <w:sig w:usb0="00000000"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C490" w14:textId="77777777" w:rsidR="00982083" w:rsidRDefault="00982083">
      <w:r>
        <w:separator/>
      </w:r>
    </w:p>
  </w:footnote>
  <w:footnote w:type="continuationSeparator" w:id="0">
    <w:p w14:paraId="7A8F9FF5" w14:textId="77777777" w:rsidR="00982083" w:rsidRDefault="00982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2AFF" w14:textId="77777777" w:rsidR="00E86DF3" w:rsidRDefault="00E86DF3">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2B00" w14:textId="77777777" w:rsidR="00E86DF3" w:rsidRDefault="00982083">
    <w:pPr>
      <w:pStyle w:val="Header"/>
      <w:jc w:val="left"/>
    </w:pPr>
    <w:r>
      <w:rPr>
        <w:noProof/>
        <w:lang w:eastAsia="en-US"/>
      </w:rPr>
      <w:drawing>
        <wp:anchor distT="0" distB="0" distL="114300" distR="114300" simplePos="0" relativeHeight="251659264" behindDoc="1" locked="0" layoutInCell="1" allowOverlap="1" wp14:anchorId="60A72B01" wp14:editId="60A72B02">
          <wp:simplePos x="0" y="0"/>
          <wp:positionH relativeFrom="margin">
            <wp:posOffset>2144395</wp:posOffset>
          </wp:positionH>
          <wp:positionV relativeFrom="paragraph">
            <wp:posOffset>-423545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anchor>
      </w:drawing>
    </w:r>
    <w:r>
      <w:rPr>
        <w:noProof/>
        <w:sz w:val="14"/>
        <w:szCs w:val="14"/>
        <w:lang w:eastAsia="en-US"/>
      </w:rPr>
      <mc:AlternateContent>
        <mc:Choice Requires="wps">
          <w:drawing>
            <wp:anchor distT="0" distB="0" distL="114300" distR="114300" simplePos="0" relativeHeight="251660288" behindDoc="1" locked="0" layoutInCell="1" allowOverlap="0" wp14:anchorId="60A72B03" wp14:editId="60A72B04">
              <wp:simplePos x="0" y="0"/>
              <wp:positionH relativeFrom="margin">
                <wp:posOffset>982345</wp:posOffset>
              </wp:positionH>
              <wp:positionV relativeFrom="paragraph">
                <wp:posOffset>351155</wp:posOffset>
              </wp:positionV>
              <wp:extent cx="3381375" cy="238125"/>
              <wp:effectExtent l="0" t="0" r="0" b="0"/>
              <wp:wrapNone/>
              <wp:docPr id="586602037"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0A72B05" w14:textId="77777777" w:rsidR="00E86DF3" w:rsidRDefault="00982083">
                          <w:pPr>
                            <w:adjustRightInd w:val="0"/>
                            <w:snapToGrid w:val="0"/>
                            <w:spacing w:line="200" w:lineRule="exact"/>
                            <w:jc w:val="center"/>
                            <w:rPr>
                              <w:rFonts w:ascii="Myriad Pro" w:hAnsi="Myriad Pro"/>
                              <w:b/>
                              <w:color w:val="0E588C"/>
                              <w:sz w:val="20"/>
                              <w:szCs w:val="20"/>
                            </w:rPr>
                          </w:pPr>
                          <w:r>
                            <w:rPr>
                              <w:rFonts w:ascii="Myriad Pro" w:hAnsi="Myriad Pro"/>
                              <w:b/>
                              <w:color w:val="0E588C"/>
                              <w:sz w:val="20"/>
                              <w:szCs w:val="20"/>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0A72B03" id="_x0000_t202" coordsize="21600,21600" o:spt="202" path="m,l,21600r21600,l21600,xe">
              <v:stroke joinstyle="miter"/>
              <v:path gradientshapeok="t" o:connecttype="rect"/>
            </v:shapetype>
            <v:shape id="テキスト ボックス 15" o:spid="_x0000_s1026" type="#_x0000_t202" style="position:absolute;margin-left:77.35pt;margin-top:27.65pt;width:266.25pt;height:18.75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" o:allowoverlap="f" filled="f" stroked="f" strokeweight=".5pt">
              <v:textbox>
                <w:txbxContent>
                  <w:p w14:paraId="60A72B05" w14:textId="77777777" w:rsidR="00E86DF3" w:rsidRDefault="00982083">
                    <w:pPr>
                      <w:adjustRightInd w:val="0"/>
                      <w:snapToGrid w:val="0"/>
                      <w:spacing w:line="200" w:lineRule="exact"/>
                      <w:jc w:val="center"/>
                      <w:rPr>
                        <w:rFonts w:ascii="Myriad Pro" w:hAnsi="Myriad Pro"/>
                        <w:b/>
                        <w:color w:val="0E588C"/>
                        <w:sz w:val="20"/>
                        <w:szCs w:val="20"/>
                      </w:rPr>
                    </w:pPr>
                    <w:r>
                      <w:rPr>
                        <w:rFonts w:ascii="Myriad Pro" w:hAnsi="Myriad Pro"/>
                        <w:b/>
                        <w:color w:val="0E588C"/>
                        <w:sz w:val="20"/>
                        <w:szCs w:val="20"/>
                      </w:rPr>
                      <w:t>North Pacific Fisheries Commission</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441FE0"/>
    <w:rsid w:val="00032241"/>
    <w:rsid w:val="000A2D32"/>
    <w:rsid w:val="000F5241"/>
    <w:rsid w:val="001E1761"/>
    <w:rsid w:val="002A5243"/>
    <w:rsid w:val="002D7AF5"/>
    <w:rsid w:val="003041CE"/>
    <w:rsid w:val="003B7768"/>
    <w:rsid w:val="00411EF9"/>
    <w:rsid w:val="004C2D7F"/>
    <w:rsid w:val="005A1ACD"/>
    <w:rsid w:val="005F0127"/>
    <w:rsid w:val="006A3E55"/>
    <w:rsid w:val="00780D4A"/>
    <w:rsid w:val="00782923"/>
    <w:rsid w:val="007A2A87"/>
    <w:rsid w:val="009235C0"/>
    <w:rsid w:val="00982083"/>
    <w:rsid w:val="00A3157D"/>
    <w:rsid w:val="00B7214E"/>
    <w:rsid w:val="00D55F6F"/>
    <w:rsid w:val="00D95734"/>
    <w:rsid w:val="00E821AA"/>
    <w:rsid w:val="00E86DF3"/>
    <w:rsid w:val="00E93452"/>
    <w:rsid w:val="00EF4471"/>
    <w:rsid w:val="03885BF9"/>
    <w:rsid w:val="245473A9"/>
    <w:rsid w:val="2A441FE0"/>
    <w:rsid w:val="30B934D7"/>
    <w:rsid w:val="3165037A"/>
    <w:rsid w:val="3D536CD5"/>
    <w:rsid w:val="5AF960E5"/>
    <w:rsid w:val="6BF81CA0"/>
    <w:rsid w:val="7F2E3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7294B"/>
  <w15:docId w15:val="{51088D89-9D59-4B4C-9E35-009EA0CFD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paragraph" w:styleId="NormalWeb">
    <w:name w:val="Normal (Web)"/>
    <w:basedOn w:val="Normal"/>
    <w:qFormat/>
    <w:rPr>
      <w:sz w:val="24"/>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CommentReference">
    <w:name w:val="annotation reference"/>
    <w:basedOn w:val="DefaultParagraphFont"/>
    <w:qFormat/>
    <w:rPr>
      <w:sz w:val="21"/>
      <w:szCs w:val="21"/>
    </w:rPr>
  </w:style>
  <w:style w:type="paragraph" w:styleId="ListParagraph">
    <w:name w:val="List Paragraph"/>
    <w:basedOn w:val="Normal"/>
    <w:uiPriority w:val="34"/>
    <w:unhideWhenUsed/>
    <w:qFormat/>
    <w:pPr>
      <w:ind w:firstLineChars="200" w:firstLine="420"/>
    </w:pPr>
  </w:style>
  <w:style w:type="character" w:customStyle="1" w:styleId="HeaderChar">
    <w:name w:val="Header Char"/>
    <w:basedOn w:val="DefaultParagraphFont"/>
    <w:link w:val="Header"/>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4"/>
      <w:lang w:eastAsia="zh-CN"/>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1"/>
      <w:szCs w:val="24"/>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sz w:val="21"/>
      <w:szCs w:val="24"/>
    </w:rPr>
  </w:style>
  <w:style w:type="paragraph" w:customStyle="1" w:styleId="Revision1">
    <w:name w:val="Revision1"/>
    <w:hidden/>
    <w:uiPriority w:val="99"/>
    <w:unhideWhenUsed/>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3.w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3088</Words>
  <Characters>18784</Characters>
  <Application>Microsoft Office Word</Application>
  <DocSecurity>0</DocSecurity>
  <Lines>552</Lines>
  <Paragraphs>276</Paragraphs>
  <ScaleCrop>false</ScaleCrop>
  <Company/>
  <LinksUpToDate>false</LinksUpToDate>
  <CharactersWithSpaces>21802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宋明艳</dc:creator>
  <cp:lastModifiedBy>Aleksandr Zavolokin</cp:lastModifiedBy>
  <cp:revision>10</cp:revision>
  <dcterms:created xsi:type="dcterms:W3CDTF">2026-02-25T04:10:00Z</dcterms:created>
  <dcterms:modified xsi:type="dcterms:W3CDTF">2026-03-02T06:39:00Z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99BABF4B13F74418AF2A9C07B979BB62_13</vt:lpwstr>
  </property>
  <property fmtid="{D5CDD505-2E9C-101B-9397-08002B2CF9AE}" pid="4" name="KSOTemplateDocerSaveRecord">
    <vt:lpwstr>eyJoZGlkIjoiYjYxY2Y0ZDEwMmU2ODU0MWZhNzlmMzg3MDMxZWVkNmEiLCJ1c2VySWQiOiIxMDQ5NDk1MzY4In0=</vt:lpwstr>
  </property>
</Properties>
</file>