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1F4C" w14:textId="3725702D" w:rsidR="00A72648" w:rsidRPr="00426733" w:rsidRDefault="00000000" w:rsidP="00426733">
      <w:pPr>
        <w:spacing w:before="360"/>
        <w:jc w:val="right"/>
        <w:rPr>
          <w:rFonts w:ascii="Times New Roman" w:hAnsi="Times New Roman" w:cs="Times New Roman"/>
          <w:sz w:val="24"/>
        </w:rPr>
      </w:pPr>
      <w:bookmarkStart w:id="0" w:name="_Hlk141733395"/>
      <w:bookmarkEnd w:id="0"/>
      <w:r w:rsidRPr="00426733">
        <w:rPr>
          <w:rFonts w:ascii="Times New Roman" w:hAnsi="Times New Roman" w:cs="Times New Roman"/>
          <w:sz w:val="24"/>
        </w:rPr>
        <w:t>NPFC-2026-SSC NFS03-WP08</w:t>
      </w:r>
      <w:r w:rsidR="00426733" w:rsidRPr="00426733">
        <w:rPr>
          <w:rFonts w:ascii="Times New Roman" w:hAnsi="Times New Roman" w:cs="Times New Roman"/>
          <w:sz w:val="24"/>
        </w:rPr>
        <w:t xml:space="preserve"> (Rev. 1)</w:t>
      </w:r>
    </w:p>
    <w:p w14:paraId="1CF21F4D" w14:textId="77777777" w:rsidR="00A72648" w:rsidRDefault="00000000">
      <w:pPr>
        <w:jc w:val="center"/>
        <w:rPr>
          <w:rFonts w:ascii="Times New Roman" w:hAnsi="Times New Roman" w:cs="Times New Roman"/>
          <w:b/>
          <w:bCs/>
          <w:sz w:val="28"/>
          <w:szCs w:val="28"/>
        </w:rPr>
      </w:pPr>
      <w:r>
        <w:rPr>
          <w:rFonts w:ascii="Times New Roman" w:hAnsi="Times New Roman" w:cs="Times New Roman" w:hint="eastAsia"/>
          <w:b/>
          <w:bCs/>
          <w:sz w:val="28"/>
          <w:szCs w:val="28"/>
        </w:rPr>
        <w:t>CPUE s</w:t>
      </w:r>
      <w:r>
        <w:rPr>
          <w:rFonts w:ascii="Times New Roman" w:hAnsi="Times New Roman" w:cs="Times New Roman"/>
          <w:b/>
          <w:bCs/>
          <w:sz w:val="28"/>
          <w:szCs w:val="28"/>
        </w:rPr>
        <w:t>tandardiz</w:t>
      </w:r>
      <w:r>
        <w:rPr>
          <w:rFonts w:ascii="Times New Roman" w:hAnsi="Times New Roman" w:cs="Times New Roman" w:hint="eastAsia"/>
          <w:b/>
          <w:bCs/>
          <w:sz w:val="28"/>
          <w:szCs w:val="28"/>
        </w:rPr>
        <w:t xml:space="preserve">ation </w:t>
      </w:r>
      <w:r>
        <w:rPr>
          <w:rFonts w:ascii="Times New Roman" w:hAnsi="Times New Roman" w:cs="Times New Roman"/>
          <w:b/>
          <w:bCs/>
          <w:sz w:val="28"/>
          <w:szCs w:val="28"/>
        </w:rPr>
        <w:t xml:space="preserve">of </w:t>
      </w:r>
      <w:r>
        <w:rPr>
          <w:rFonts w:ascii="Times New Roman" w:hAnsi="Times New Roman" w:cs="Times New Roman" w:hint="eastAsia"/>
          <w:b/>
          <w:bCs/>
          <w:sz w:val="28"/>
          <w:szCs w:val="28"/>
        </w:rPr>
        <w:t>N</w:t>
      </w:r>
      <w:r>
        <w:rPr>
          <w:rFonts w:ascii="Times New Roman" w:hAnsi="Times New Roman" w:cs="Times New Roman"/>
          <w:b/>
          <w:bCs/>
          <w:sz w:val="28"/>
          <w:szCs w:val="28"/>
        </w:rPr>
        <w:t xml:space="preserve">eon flying squid </w:t>
      </w:r>
      <w:r>
        <w:rPr>
          <w:rFonts w:ascii="Times New Roman" w:hAnsi="Times New Roman" w:cs="Times New Roman" w:hint="eastAsia"/>
          <w:b/>
          <w:bCs/>
          <w:sz w:val="28"/>
          <w:szCs w:val="28"/>
        </w:rPr>
        <w:t xml:space="preserve">caught by </w:t>
      </w:r>
      <w:r>
        <w:rPr>
          <w:rFonts w:ascii="Times New Roman" w:hAnsi="Times New Roman" w:cs="Times New Roman"/>
          <w:b/>
          <w:bCs/>
          <w:sz w:val="28"/>
          <w:szCs w:val="28"/>
        </w:rPr>
        <w:t>the Chinese squid</w:t>
      </w:r>
      <w:r>
        <w:rPr>
          <w:rFonts w:ascii="Times New Roman" w:hAnsi="Times New Roman" w:cs="Times New Roman" w:hint="eastAsia"/>
          <w:b/>
          <w:bCs/>
          <w:sz w:val="28"/>
          <w:szCs w:val="28"/>
        </w:rPr>
        <w:t xml:space="preserve"> </w:t>
      </w:r>
      <w:r>
        <w:rPr>
          <w:rFonts w:ascii="Times New Roman" w:hAnsi="Times New Roman" w:cs="Times New Roman"/>
          <w:b/>
          <w:bCs/>
          <w:sz w:val="28"/>
          <w:szCs w:val="28"/>
        </w:rPr>
        <w:t>jigging fisher</w:t>
      </w:r>
      <w:r>
        <w:rPr>
          <w:rFonts w:ascii="Times New Roman" w:hAnsi="Times New Roman" w:cs="Times New Roman" w:hint="eastAsia"/>
          <w:b/>
          <w:bCs/>
          <w:sz w:val="28"/>
          <w:szCs w:val="28"/>
        </w:rPr>
        <w:t>y</w:t>
      </w:r>
      <w:r>
        <w:rPr>
          <w:rFonts w:ascii="Times New Roman" w:hAnsi="Times New Roman" w:cs="Times New Roman"/>
          <w:b/>
          <w:bCs/>
          <w:sz w:val="28"/>
          <w:szCs w:val="28"/>
        </w:rPr>
        <w:t xml:space="preserve"> </w:t>
      </w:r>
      <w:r>
        <w:rPr>
          <w:rFonts w:ascii="Times New Roman" w:hAnsi="Times New Roman" w:cs="Times New Roman" w:hint="eastAsia"/>
          <w:b/>
          <w:bCs/>
          <w:sz w:val="28"/>
          <w:szCs w:val="28"/>
        </w:rPr>
        <w:t xml:space="preserve">up to 2024 </w:t>
      </w:r>
      <w:r>
        <w:rPr>
          <w:rFonts w:ascii="Times New Roman" w:hAnsi="Times New Roman" w:cs="Times New Roman"/>
          <w:b/>
          <w:bCs/>
          <w:sz w:val="28"/>
          <w:szCs w:val="28"/>
        </w:rPr>
        <w:t>in the North</w:t>
      </w:r>
      <w:r>
        <w:rPr>
          <w:rFonts w:ascii="Times New Roman" w:hAnsi="Times New Roman" w:cs="Times New Roman" w:hint="eastAsia"/>
          <w:b/>
          <w:bCs/>
          <w:sz w:val="28"/>
          <w:szCs w:val="28"/>
        </w:rPr>
        <w:t>west</w:t>
      </w:r>
      <w:r>
        <w:rPr>
          <w:rFonts w:ascii="Times New Roman" w:hAnsi="Times New Roman" w:cs="Times New Roman"/>
          <w:b/>
          <w:bCs/>
          <w:sz w:val="28"/>
          <w:szCs w:val="28"/>
        </w:rPr>
        <w:t xml:space="preserve"> Pacific Ocean</w:t>
      </w:r>
    </w:p>
    <w:p w14:paraId="1CF21F4E" w14:textId="77777777" w:rsidR="00A72648" w:rsidRDefault="00000000">
      <w:pPr>
        <w:jc w:val="center"/>
        <w:rPr>
          <w:rFonts w:ascii="Times New Roman" w:hAnsi="Times New Roman" w:cs="Times New Roman"/>
          <w:sz w:val="28"/>
          <w:szCs w:val="28"/>
        </w:rPr>
      </w:pPr>
      <w:proofErr w:type="spellStart"/>
      <w:r>
        <w:rPr>
          <w:rFonts w:ascii="Times New Roman" w:hAnsi="Times New Roman" w:cs="Times New Roman"/>
          <w:sz w:val="28"/>
          <w:szCs w:val="28"/>
        </w:rPr>
        <w:t>Mingyan</w:t>
      </w:r>
      <w:proofErr w:type="spellEnd"/>
      <w:r>
        <w:rPr>
          <w:rFonts w:ascii="Times New Roman" w:hAnsi="Times New Roman" w:cs="Times New Roman"/>
          <w:sz w:val="28"/>
          <w:szCs w:val="28"/>
        </w:rPr>
        <w:t xml:space="preserve"> Song,</w:t>
      </w:r>
      <w:r>
        <w:rPr>
          <w:rFonts w:ascii="Times New Roman" w:hAnsi="Times New Roman" w:cs="Times New Roman" w:hint="eastAsia"/>
          <w:sz w:val="28"/>
          <w:szCs w:val="28"/>
        </w:rPr>
        <w:t xml:space="preserve"> </w:t>
      </w:r>
      <w:proofErr w:type="spellStart"/>
      <w:r>
        <w:rPr>
          <w:rFonts w:ascii="Times New Roman" w:hAnsi="Times New Roman" w:cs="Times New Roman" w:hint="eastAsia"/>
          <w:sz w:val="28"/>
          <w:szCs w:val="28"/>
        </w:rPr>
        <w:t>Xingwang</w:t>
      </w:r>
      <w:proofErr w:type="spellEnd"/>
      <w:r>
        <w:rPr>
          <w:rFonts w:ascii="Times New Roman" w:hAnsi="Times New Roman" w:cs="Times New Roman" w:hint="eastAsia"/>
          <w:sz w:val="28"/>
          <w:szCs w:val="28"/>
        </w:rPr>
        <w:t xml:space="preserve"> Zhang,</w:t>
      </w:r>
      <w:r>
        <w:rPr>
          <w:rFonts w:ascii="Times New Roman" w:hAnsi="Times New Roman" w:cs="Times New Roman"/>
          <w:sz w:val="28"/>
          <w:szCs w:val="28"/>
        </w:rPr>
        <w:t xml:space="preserve"> Jintao Wang</w:t>
      </w:r>
    </w:p>
    <w:p w14:paraId="1CF21F4F" w14:textId="77777777" w:rsidR="00A72648" w:rsidRDefault="00000000">
      <w:pPr>
        <w:jc w:val="center"/>
        <w:rPr>
          <w:rFonts w:ascii="Times New Roman" w:hAnsi="Times New Roman" w:cs="Times New Roman"/>
        </w:rPr>
      </w:pPr>
      <w:r>
        <w:rPr>
          <w:rFonts w:ascii="Times New Roman" w:hAnsi="Times New Roman" w:cs="Times New Roman" w:hint="eastAsia"/>
          <w:sz w:val="28"/>
          <w:szCs w:val="28"/>
        </w:rPr>
        <w:t>Shanghai Ocean University</w:t>
      </w:r>
    </w:p>
    <w:p w14:paraId="1CF21F50" w14:textId="77777777" w:rsidR="00A72648" w:rsidRDefault="00000000">
      <w:pPr>
        <w:pStyle w:val="Heading1"/>
        <w:spacing w:line="240" w:lineRule="auto"/>
        <w:rPr>
          <w:rFonts w:ascii="Times New Roman" w:hAnsi="Times New Roman" w:cs="Times New Roman"/>
          <w:sz w:val="28"/>
          <w:szCs w:val="28"/>
        </w:rPr>
      </w:pPr>
      <w:r>
        <w:rPr>
          <w:rFonts w:ascii="Times New Roman" w:hAnsi="Times New Roman" w:cs="Times New Roman"/>
          <w:sz w:val="28"/>
          <w:szCs w:val="28"/>
        </w:rPr>
        <w:t>Summary</w:t>
      </w:r>
    </w:p>
    <w:p w14:paraId="1CF21F51" w14:textId="77777777" w:rsidR="00A72648" w:rsidRDefault="00000000">
      <w:pPr>
        <w:spacing w:line="276" w:lineRule="auto"/>
        <w:ind w:firstLineChars="200" w:firstLine="480"/>
        <w:rPr>
          <w:sz w:val="24"/>
        </w:rPr>
      </w:pPr>
      <w:r>
        <w:rPr>
          <w:rFonts w:ascii="Times New Roman" w:hAnsi="Times New Roman" w:cs="Times New Roman"/>
          <w:sz w:val="24"/>
        </w:rPr>
        <w:t>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xml:space="preserve">) population in the Northwest Pacific Ocean comprises two main seasonal cohorts: the winter-spring cohort and the autumn cohort. </w:t>
      </w:r>
      <w:r>
        <w:rPr>
          <w:rFonts w:ascii="Times New Roman" w:hAnsi="Times New Roman" w:cs="Times New Roman" w:hint="eastAsia"/>
          <w:sz w:val="24"/>
        </w:rPr>
        <w:t xml:space="preserve">We used three approaches including </w:t>
      </w:r>
      <w:r>
        <w:rPr>
          <w:rFonts w:ascii="Times New Roman" w:hAnsi="Times New Roman" w:cs="Times New Roman"/>
          <w:sz w:val="24"/>
        </w:rPr>
        <w:t>Generalized Additive Models (GAM), Random Forest (RF), and Gradient Boosting Machine (GBM)</w:t>
      </w:r>
      <w:r>
        <w:rPr>
          <w:rFonts w:ascii="Times New Roman" w:hAnsi="Times New Roman" w:cs="Times New Roman" w:hint="eastAsia"/>
          <w:sz w:val="24"/>
        </w:rPr>
        <w:t xml:space="preserve"> to </w:t>
      </w:r>
      <w:r>
        <w:rPr>
          <w:rFonts w:ascii="Times New Roman" w:hAnsi="Times New Roman" w:cs="Times New Roman"/>
          <w:sz w:val="24"/>
        </w:rPr>
        <w:t>standard the catch per unit effort (CPUE) for these two cohorts and for the combined stock during</w:t>
      </w:r>
      <w:r>
        <w:rPr>
          <w:rFonts w:ascii="Times New Roman" w:hAnsi="Times New Roman" w:cs="Times New Roman" w:hint="eastAsia"/>
          <w:sz w:val="24"/>
        </w:rPr>
        <w:t xml:space="preserve"> </w:t>
      </w:r>
      <w:r>
        <w:rPr>
          <w:rFonts w:ascii="Times New Roman" w:hAnsi="Times New Roman" w:cs="Times New Roman"/>
          <w:sz w:val="24"/>
        </w:rPr>
        <w:t>2005–2024</w:t>
      </w:r>
      <w:r>
        <w:rPr>
          <w:rFonts w:ascii="Times New Roman" w:hAnsi="Times New Roman" w:cs="Times New Roman" w:hint="eastAsia"/>
          <w:sz w:val="24"/>
        </w:rPr>
        <w:t xml:space="preserve"> of Chinese squid jigging fishery data</w:t>
      </w:r>
      <w:r>
        <w:rPr>
          <w:rFonts w:ascii="Times New Roman" w:hAnsi="Times New Roman" w:cs="Times New Roman"/>
          <w:sz w:val="24"/>
        </w:rPr>
        <w:t>. All models incorporated spatial, temporal, and environmental variables.</w:t>
      </w:r>
      <w:r>
        <w:rPr>
          <w:rFonts w:ascii="Times New Roman" w:hAnsi="Times New Roman" w:cs="Times New Roman" w:hint="eastAsia"/>
          <w:sz w:val="24"/>
        </w:rPr>
        <w:t xml:space="preserve"> </w:t>
      </w:r>
      <w:r>
        <w:rPr>
          <w:rFonts w:ascii="Times New Roman" w:hAnsi="Times New Roman" w:cs="Times New Roman"/>
          <w:sz w:val="24"/>
        </w:rPr>
        <w:t>Model performance metrics and residual diagnostics indicated acceptable fits</w:t>
      </w:r>
      <w:r>
        <w:rPr>
          <w:rFonts w:ascii="Times New Roman" w:hAnsi="Times New Roman" w:cs="Times New Roman" w:hint="eastAsia"/>
          <w:sz w:val="24"/>
        </w:rPr>
        <w:t xml:space="preserve"> </w:t>
      </w:r>
      <w:r>
        <w:rPr>
          <w:rFonts w:ascii="Times New Roman" w:hAnsi="Times New Roman" w:cs="Times New Roman"/>
          <w:sz w:val="24"/>
        </w:rPr>
        <w:t>for all models.</w:t>
      </w:r>
      <w:r>
        <w:rPr>
          <w:rFonts w:ascii="Times New Roman" w:hAnsi="Times New Roman" w:cs="Times New Roman" w:hint="eastAsia"/>
          <w:sz w:val="24"/>
        </w:rPr>
        <w:t xml:space="preserve"> </w:t>
      </w:r>
      <w:r>
        <w:rPr>
          <w:rFonts w:ascii="Times New Roman" w:hAnsi="Times New Roman" w:cs="Times New Roman"/>
          <w:sz w:val="24"/>
        </w:rPr>
        <w:t>The resulting standardized CPUE showed highly consistent interannual trends among the three methods for each cohort</w:t>
      </w:r>
      <w:r>
        <w:rPr>
          <w:rFonts w:ascii="Times New Roman" w:hAnsi="Times New Roman" w:cs="Times New Roman" w:hint="eastAsia"/>
          <w:sz w:val="24"/>
        </w:rPr>
        <w:t>,</w:t>
      </w:r>
      <w:r>
        <w:rPr>
          <w:rFonts w:ascii="Times New Roman" w:hAnsi="Times New Roman" w:cs="Times New Roman"/>
          <w:sz w:val="24"/>
        </w:rPr>
        <w:t xml:space="preserve"> as evidenced by high pairwise correlations (r &gt; 0.94). Specifically, the standardized CPUE for the winter-spring cohort peaked during 2005–2007, declined thereafter, and has since remained at relatively low levels. In contrast, the index for the autumn cohort showed an increasing trend from 2012 onwards, reached its highest point around 2019–2020, and has exhibited a recent declining trend.</w:t>
      </w:r>
      <w:r>
        <w:rPr>
          <w:rFonts w:ascii="Times New Roman" w:hAnsi="Times New Roman" w:cs="Times New Roman" w:hint="eastAsia"/>
          <w:sz w:val="24"/>
        </w:rPr>
        <w:t xml:space="preserve"> </w:t>
      </w:r>
      <w:r>
        <w:rPr>
          <w:rFonts w:ascii="Times New Roman" w:hAnsi="Times New Roman" w:cs="Times New Roman"/>
          <w:sz w:val="24"/>
        </w:rPr>
        <w:t>The resulting standardized CPUE indices, validated through multi-model comparison, are provided to support future stock assessment and management of this species.</w:t>
      </w:r>
    </w:p>
    <w:p w14:paraId="1CF21F52" w14:textId="77777777" w:rsidR="00A72648" w:rsidRDefault="00000000">
      <w:pPr>
        <w:pStyle w:val="Heading1"/>
        <w:spacing w:line="240" w:lineRule="auto"/>
        <w:rPr>
          <w:rFonts w:ascii="Times New Roman" w:hAnsi="Times New Roman" w:cs="Times New Roman"/>
          <w:sz w:val="28"/>
          <w:szCs w:val="28"/>
        </w:rPr>
      </w:pPr>
      <w:r>
        <w:rPr>
          <w:rFonts w:ascii="Times New Roman" w:hAnsi="Times New Roman" w:cs="Times New Roman"/>
          <w:sz w:val="28"/>
          <w:szCs w:val="28"/>
        </w:rPr>
        <w:t xml:space="preserve">1. Introduction </w:t>
      </w:r>
    </w:p>
    <w:p w14:paraId="1CF21F53"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xml:space="preserve">, hereafter referred to as NFS), one of the most abundant and economically important oceanic squid in the family </w:t>
      </w:r>
      <w:proofErr w:type="spellStart"/>
      <w:r>
        <w:rPr>
          <w:rFonts w:ascii="Times New Roman" w:hAnsi="Times New Roman" w:cs="Times New Roman"/>
          <w:sz w:val="24"/>
        </w:rPr>
        <w:t>Ommastrephidae</w:t>
      </w:r>
      <w:proofErr w:type="spellEnd"/>
      <w:r>
        <w:rPr>
          <w:rFonts w:ascii="Times New Roman" w:hAnsi="Times New Roman" w:cs="Times New Roman"/>
          <w:sz w:val="24"/>
        </w:rPr>
        <w:t>, is widely distributed in the north Pacific Ocean (Murata, 1990). Its population is structured into two main seasonal cohorts with distinct spatial and temporal distributions: the winter-spring and autumn cohorts (</w:t>
      </w:r>
      <w:proofErr w:type="spellStart"/>
      <w:r>
        <w:rPr>
          <w:rFonts w:ascii="Times New Roman" w:hAnsi="Times New Roman" w:cs="Times New Roman"/>
          <w:sz w:val="24"/>
        </w:rPr>
        <w:t>Yatsu</w:t>
      </w:r>
      <w:proofErr w:type="spellEnd"/>
      <w:r>
        <w:rPr>
          <w:rFonts w:ascii="Times New Roman" w:hAnsi="Times New Roman" w:cs="Times New Roman"/>
          <w:sz w:val="24"/>
        </w:rPr>
        <w:t xml:space="preserve"> et al., 1997, 1998). Reliable abundance indices are crucial for stock assessment and management. </w:t>
      </w:r>
      <w:r>
        <w:rPr>
          <w:rFonts w:ascii="Times New Roman" w:hAnsi="Times New Roman" w:cs="Times New Roman"/>
          <w:sz w:val="24"/>
        </w:rPr>
        <w:lastRenderedPageBreak/>
        <w:t>However nominal CPUE from fishery-dependent data is often confounded by factors unrelated to abundance. This study aims to generate standardized CPUE indices for both cohorts and the combined stock (hereafter referred to as stock-wide) by removing the influence of spatial, temporal, and environmental factors using multiple statistical and machine learning models, providing updated inputs for stock assessment up to 2024. This study was conducted in accordance with the NPFC CPUE standardization protocol (revised July 2025); a compliance checklist is provided in Appendix 1.</w:t>
      </w:r>
    </w:p>
    <w:p w14:paraId="1CF21F54" w14:textId="77777777" w:rsidR="00A72648" w:rsidRDefault="00000000">
      <w:pPr>
        <w:pStyle w:val="Heading1"/>
        <w:spacing w:line="240" w:lineRule="auto"/>
        <w:rPr>
          <w:rFonts w:ascii="Times New Roman" w:hAnsi="Times New Roman" w:cs="Times New Roman"/>
          <w:sz w:val="28"/>
          <w:szCs w:val="28"/>
        </w:rPr>
      </w:pPr>
      <w:r>
        <w:rPr>
          <w:rFonts w:ascii="Times New Roman" w:hAnsi="Times New Roman" w:cs="Times New Roman" w:hint="eastAsia"/>
          <w:sz w:val="28"/>
          <w:szCs w:val="28"/>
        </w:rPr>
        <w:t>2. Materials and Methods</w:t>
      </w:r>
    </w:p>
    <w:p w14:paraId="1CF21F55" w14:textId="77777777" w:rsidR="00A72648" w:rsidRDefault="00000000">
      <w:pPr>
        <w:pStyle w:val="Heading2"/>
        <w:spacing w:line="240" w:lineRule="auto"/>
        <w:rPr>
          <w:rFonts w:ascii="Times New Roman" w:hAnsi="Times New Roman" w:cs="Times New Roman"/>
          <w:sz w:val="24"/>
          <w:szCs w:val="24"/>
        </w:rPr>
      </w:pPr>
      <w:r>
        <w:rPr>
          <w:rFonts w:ascii="Times New Roman" w:hAnsi="Times New Roman" w:cs="Times New Roman" w:hint="eastAsia"/>
          <w:sz w:val="24"/>
          <w:szCs w:val="24"/>
        </w:rPr>
        <w:t xml:space="preserve">2.1. </w:t>
      </w:r>
      <w:r>
        <w:rPr>
          <w:rFonts w:ascii="Times New Roman" w:hAnsi="Times New Roman" w:cs="Times New Roman"/>
          <w:sz w:val="24"/>
          <w:szCs w:val="24"/>
        </w:rPr>
        <w:t>Fishery Data</w:t>
      </w:r>
    </w:p>
    <w:p w14:paraId="1CF21F56"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Commercial fishery data for </w:t>
      </w:r>
      <w:r>
        <w:rPr>
          <w:rFonts w:ascii="Times New Roman" w:hAnsi="Times New Roman" w:cs="Times New Roman" w:hint="eastAsia"/>
          <w:sz w:val="24"/>
        </w:rPr>
        <w:t>NFS</w:t>
      </w:r>
      <w:r>
        <w:rPr>
          <w:rFonts w:ascii="Times New Roman" w:hAnsi="Times New Roman" w:cs="Times New Roman"/>
          <w:sz w:val="24"/>
        </w:rPr>
        <w:t xml:space="preserve"> in the Northwest Pacific Ocean (2005–2024) were provided by the Chinese Squid Jigging Technology Working Group. The data included catch (metric tons), fishing effort (vessel-days), fishing position (longitude and latitude), fishing year and month for each fishing operation. According to the spatial distribution and seasonal characteristics of </w:t>
      </w:r>
      <w:r>
        <w:rPr>
          <w:rFonts w:ascii="Times New Roman" w:hAnsi="Times New Roman" w:cs="Times New Roman" w:hint="eastAsia"/>
          <w:sz w:val="24"/>
        </w:rPr>
        <w:t>NFS</w:t>
      </w:r>
      <w:r>
        <w:rPr>
          <w:rFonts w:ascii="Times New Roman" w:hAnsi="Times New Roman" w:cs="Times New Roman"/>
          <w:sz w:val="24"/>
        </w:rPr>
        <w:t>, the data were divided into three stock units for separate analysis: the winter-spring cohort (west of 170°E, fishing period: May–November, 2005–2024), the autumn cohort (east of 170°E, fishing period: May–August, 2012–2024) and the stock-wide.</w:t>
      </w:r>
    </w:p>
    <w:p w14:paraId="1CF21F57"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A spatial scale of 1°×1° (referred to as a fishing grid) was used in grouping the data. </w:t>
      </w:r>
      <w:r>
        <w:rPr>
          <w:rFonts w:ascii="Times New Roman" w:hAnsi="Times New Roman" w:cs="Times New Roman" w:hint="eastAsia"/>
          <w:sz w:val="24"/>
        </w:rPr>
        <w:t>N</w:t>
      </w:r>
      <w:r>
        <w:rPr>
          <w:rFonts w:ascii="Times New Roman" w:hAnsi="Times New Roman" w:cs="Times New Roman"/>
          <w:sz w:val="24"/>
        </w:rPr>
        <w:t>ominal CPUE (ton/vessel/day) for each fishing grid was calculated as:</w:t>
      </w:r>
    </w:p>
    <w:p w14:paraId="1CF21F58" w14:textId="77777777" w:rsidR="00A72648" w:rsidRDefault="00000000">
      <w:pPr>
        <w:spacing w:line="276" w:lineRule="auto"/>
        <w:ind w:firstLineChars="200" w:firstLine="480"/>
        <w:jc w:val="center"/>
        <w:rPr>
          <w:rFonts w:ascii="Times New Roman" w:hAnsi="Times New Roman" w:cs="Times New Roman"/>
          <w:sz w:val="24"/>
        </w:rPr>
      </w:pPr>
      <m:oMath>
        <m:sSub>
          <m:sSubPr>
            <m:ctrlPr>
              <w:rPr>
                <w:rFonts w:ascii="Cambria Math" w:hAnsi="Cambria Math" w:cs="Times New Roman"/>
                <w:i/>
                <w:sz w:val="24"/>
                <w:lang w:eastAsia="en-US"/>
              </w:rPr>
            </m:ctrlPr>
          </m:sSubPr>
          <m:e>
            <m:r>
              <m:rPr>
                <m:nor/>
              </m:rPr>
              <w:rPr>
                <w:rFonts w:ascii="Times New Roman" w:hAnsi="Times New Roman" w:cs="Times New Roman"/>
                <w:i/>
                <w:sz w:val="24"/>
                <w:lang w:eastAsia="en-US"/>
              </w:rPr>
              <m:t>CPUE</m:t>
            </m:r>
          </m:e>
          <m:sub>
            <w:proofErr w:type="spellStart"/>
            <m:r>
              <m:rPr>
                <m:nor/>
              </m:rPr>
              <w:rPr>
                <w:rFonts w:ascii="Times New Roman" w:hAnsi="Times New Roman" w:cs="Times New Roman"/>
                <w:i/>
                <w:sz w:val="24"/>
                <w:lang w:eastAsia="en-US"/>
              </w:rPr>
              <m:t>i</m:t>
            </m:r>
            <w:proofErr w:type="spellEnd"/>
          </m:sub>
        </m:sSub>
      </m:oMath>
      <w:r>
        <w:rPr>
          <w:rFonts w:ascii="Times New Roman" w:hAnsi="Times New Roman" w:cs="Times New Roman"/>
          <w:sz w:val="24"/>
        </w:rPr>
        <w:t>=</w:t>
      </w:r>
      <m:oMath>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Catch</m:t>
                </m:r>
              </m:e>
              <m:sub>
                <m:r>
                  <w:rPr>
                    <w:rFonts w:ascii="Cambria Math" w:hAnsi="Cambria Math" w:cs="Times New Roman"/>
                    <w:sz w:val="24"/>
                  </w:rPr>
                  <m:t>i</m:t>
                </m:r>
              </m:sub>
            </m:sSub>
          </m:num>
          <m:den>
            <m:r>
              <w:rPr>
                <w:rFonts w:ascii="Cambria Math" w:hAnsi="Cambria Math" w:cs="Times New Roman"/>
                <w:sz w:val="24"/>
              </w:rPr>
              <m:t xml:space="preserve">Fishing </m:t>
            </m:r>
            <m:sSub>
              <m:sSubPr>
                <m:ctrlPr>
                  <w:rPr>
                    <w:rFonts w:ascii="Cambria Math" w:hAnsi="Cambria Math" w:cs="Times New Roman"/>
                    <w:i/>
                    <w:sz w:val="24"/>
                  </w:rPr>
                </m:ctrlPr>
              </m:sSubPr>
              <m:e>
                <m:r>
                  <w:rPr>
                    <w:rFonts w:ascii="Cambria Math" w:hAnsi="Cambria Math" w:cs="Times New Roman"/>
                    <w:sz w:val="24"/>
                  </w:rPr>
                  <m:t>days</m:t>
                </m:r>
              </m:e>
              <m:sub>
                <m:r>
                  <w:rPr>
                    <w:rFonts w:ascii="Cambria Math" w:hAnsi="Cambria Math" w:cs="Times New Roman"/>
                    <w:sz w:val="24"/>
                  </w:rPr>
                  <m:t>i</m:t>
                </m:r>
              </m:sub>
            </m:sSub>
          </m:den>
        </m:f>
      </m:oMath>
      <w:r>
        <w:rPr>
          <w:rFonts w:ascii="Times New Roman" w:hAnsi="Times New Roman" w:cs="Times New Roman"/>
          <w:sz w:val="24"/>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1)</w:t>
      </w:r>
    </w:p>
    <w:p w14:paraId="1CF21F59"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where </w:t>
      </w:r>
      <m:oMath>
        <m:sSub>
          <m:sSubPr>
            <m:ctrlPr>
              <w:rPr>
                <w:rFonts w:ascii="Cambria Math" w:hAnsi="Cambria Math" w:cs="Times New Roman"/>
                <w:sz w:val="24"/>
              </w:rPr>
            </m:ctrlPr>
          </m:sSubPr>
          <m:e>
            <m:r>
              <m:rPr>
                <m:nor/>
              </m:rPr>
              <w:rPr>
                <w:rFonts w:ascii="Times New Roman" w:hAnsi="Times New Roman" w:cs="Times New Roman"/>
                <w:i/>
                <w:sz w:val="24"/>
              </w:rPr>
              <m:t>Catc</m:t>
            </m:r>
            <m:r>
              <m:rPr>
                <m:nor/>
              </m:rPr>
              <w:rPr>
                <w:rFonts w:ascii="Times New Roman" w:hAnsi="Times New Roman" w:cs="Times New Roman"/>
                <w:sz w:val="24"/>
              </w:rPr>
              <m:t>h</m:t>
            </m:r>
          </m:e>
          <m:sub>
            <w:proofErr w:type="spellStart"/>
            <m:r>
              <m:rPr>
                <m:nor/>
              </m:rPr>
              <w:rPr>
                <w:rFonts w:ascii="Times New Roman" w:hAnsi="Times New Roman" w:cs="Times New Roman"/>
                <w:i/>
                <w:sz w:val="24"/>
              </w:rPr>
              <m:t>i</m:t>
            </m:r>
            <w:proofErr w:type="spellEnd"/>
          </m:sub>
        </m:sSub>
      </m:oMath>
      <w:r>
        <w:rPr>
          <w:rFonts w:ascii="Times New Roman" w:hAnsi="Times New Roman" w:cs="Times New Roman"/>
          <w:sz w:val="24"/>
        </w:rPr>
        <w:t xml:space="preserve"> is the sum of catch for all the fishing vessels within a fishing grid, and </w:t>
      </w:r>
      <m:oMath>
        <m:r>
          <m:rPr>
            <m:nor/>
          </m:rPr>
          <w:rPr>
            <w:rFonts w:ascii="Times New Roman" w:hAnsi="Times New Roman" w:cs="Times New Roman"/>
            <w:i/>
            <w:sz w:val="24"/>
          </w:rPr>
          <m:t>Fis</m:t>
        </m:r>
        <m:r>
          <m:rPr>
            <m:nor/>
          </m:rPr>
          <w:rPr>
            <w:rFonts w:ascii="Times New Roman" w:hAnsi="Times New Roman" w:cs="Times New Roman"/>
            <w:sz w:val="24"/>
          </w:rPr>
          <m:t>h</m:t>
        </m:r>
        <m:r>
          <m:rPr>
            <m:nor/>
          </m:rPr>
          <w:rPr>
            <w:rFonts w:ascii="Times New Roman" w:hAnsi="Times New Roman" w:cs="Times New Roman"/>
            <w:i/>
            <w:sz w:val="24"/>
          </w:rPr>
          <m:t>ing</m:t>
        </m:r>
        <m:r>
          <m:rPr>
            <m:nor/>
          </m:rPr>
          <w:rPr>
            <w:rFonts w:ascii="Times New Roman" w:hAnsi="Times New Roman" w:cs="Times New Roman"/>
            <w:sz w:val="24"/>
          </w:rPr>
          <m:t xml:space="preserve"> </m:t>
        </m:r>
        <m:sSub>
          <m:sSubPr>
            <m:ctrlPr>
              <w:rPr>
                <w:rFonts w:ascii="Cambria Math" w:hAnsi="Cambria Math" w:cs="Times New Roman"/>
                <w:sz w:val="24"/>
              </w:rPr>
            </m:ctrlPr>
          </m:sSubPr>
          <m:e>
            <m:r>
              <m:rPr>
                <m:nor/>
              </m:rPr>
              <w:rPr>
                <w:rFonts w:ascii="Times New Roman" w:hAnsi="Times New Roman" w:cs="Times New Roman"/>
                <w:i/>
                <w:sz w:val="24"/>
              </w:rPr>
              <m:t>days</m:t>
            </m:r>
          </m:e>
          <m:sub>
            <w:proofErr w:type="spellStart"/>
            <m:r>
              <m:rPr>
                <m:nor/>
              </m:rPr>
              <w:rPr>
                <w:rFonts w:ascii="Times New Roman" w:hAnsi="Times New Roman" w:cs="Times New Roman"/>
                <w:i/>
                <w:sz w:val="24"/>
              </w:rPr>
              <m:t>i</m:t>
            </m:r>
            <w:proofErr w:type="spellEnd"/>
          </m:sub>
        </m:sSub>
      </m:oMath>
      <w:r>
        <w:rPr>
          <w:rFonts w:hAnsi="Cambria Math" w:cs="Times New Roman" w:hint="eastAsia"/>
          <w:sz w:val="24"/>
        </w:rPr>
        <w:t xml:space="preserve"> </w:t>
      </w:r>
      <w:r>
        <w:rPr>
          <w:rFonts w:ascii="Times New Roman" w:hAnsi="Times New Roman" w:cs="Times New Roman"/>
          <w:sz w:val="24"/>
        </w:rPr>
        <w:t>is the sum of all fishing days of all fishing vessels within the fishing grid.</w:t>
      </w:r>
    </w:p>
    <w:p w14:paraId="1CF21F5A" w14:textId="77777777" w:rsidR="00A72648" w:rsidRDefault="00000000">
      <w:pPr>
        <w:spacing w:line="276" w:lineRule="auto"/>
        <w:ind w:firstLineChars="200" w:firstLine="480"/>
        <w:rPr>
          <w:rFonts w:ascii="Times New Roman" w:hAnsi="Times New Roman" w:cs="Times New Roman"/>
          <w:sz w:val="24"/>
        </w:rPr>
      </w:pPr>
      <w:r>
        <w:rPr>
          <w:rFonts w:ascii="Times New Roman" w:eastAsia="Segoe UI" w:hAnsi="Times New Roman" w:cs="Times New Roman"/>
          <w:color w:val="0F1115"/>
          <w:sz w:val="24"/>
          <w:shd w:val="clear" w:color="auto" w:fill="FFFFFF"/>
        </w:rPr>
        <w:t>To enable log-transformation while accounting for grids with zero catch, a constant c was added to all CPUE values: c = 0.1 × mean</w:t>
      </w:r>
      <w:r>
        <w:rPr>
          <w:rFonts w:ascii="Times New Roman" w:eastAsia="SimSun" w:hAnsi="Times New Roman" w:cs="Times New Roman" w:hint="eastAsia"/>
          <w:color w:val="0F1115"/>
          <w:sz w:val="24"/>
          <w:shd w:val="clear" w:color="auto" w:fill="FFFFFF"/>
        </w:rPr>
        <w:t xml:space="preserve"> </w:t>
      </w:r>
      <w:r>
        <w:rPr>
          <w:rFonts w:ascii="Times New Roman" w:eastAsia="Segoe UI" w:hAnsi="Times New Roman" w:cs="Times New Roman"/>
          <w:color w:val="0F1115"/>
          <w:sz w:val="24"/>
          <w:shd w:val="clear" w:color="auto" w:fill="FFFFFF"/>
        </w:rPr>
        <w:t>(CPUE | CPUE &gt; 0)</w:t>
      </w:r>
      <w:r>
        <w:rPr>
          <w:rFonts w:ascii="Times New Roman" w:eastAsia="SimSun" w:hAnsi="Times New Roman" w:cs="Times New Roman" w:hint="eastAsia"/>
          <w:color w:val="0F1115"/>
          <w:sz w:val="24"/>
          <w:shd w:val="clear" w:color="auto" w:fill="FFFFFF"/>
        </w:rPr>
        <w:t xml:space="preserve"> (Campbell, 2004). </w:t>
      </w:r>
      <w:r>
        <w:rPr>
          <w:rFonts w:ascii="Times New Roman" w:eastAsia="Segoe UI" w:hAnsi="Times New Roman" w:cs="Times New Roman"/>
          <w:color w:val="0F1115"/>
          <w:sz w:val="24"/>
          <w:shd w:val="clear" w:color="auto" w:fill="FFFFFF"/>
        </w:rPr>
        <w:t>The response variable for all subsequent models was therefore </w:t>
      </w:r>
      <w:proofErr w:type="gramStart"/>
      <w:r>
        <w:rPr>
          <w:rFonts w:ascii="Times New Roman" w:hAnsi="Times New Roman" w:cs="Times New Roman"/>
          <w:sz w:val="24"/>
        </w:rPr>
        <w:t>log(</w:t>
      </w:r>
      <w:proofErr w:type="gramEnd"/>
      <w:r>
        <w:rPr>
          <w:rFonts w:ascii="Times New Roman" w:hAnsi="Times New Roman" w:cs="Times New Roman"/>
          <w:sz w:val="24"/>
        </w:rPr>
        <w:t>CPUE + c)</w:t>
      </w:r>
      <w:r>
        <w:rPr>
          <w:rFonts w:ascii="Times New Roman" w:eastAsia="Segoe UI" w:hAnsi="Times New Roman" w:cs="Times New Roman"/>
          <w:color w:val="0F1115"/>
          <w:sz w:val="24"/>
          <w:shd w:val="clear" w:color="auto" w:fill="FFFFFF"/>
        </w:rPr>
        <w:t>.</w:t>
      </w:r>
      <w:r>
        <w:rPr>
          <w:rFonts w:ascii="Times New Roman" w:eastAsia="SimSun" w:hAnsi="Times New Roman" w:cs="Times New Roman" w:hint="eastAsia"/>
          <w:color w:val="0F1115"/>
          <w:sz w:val="24"/>
          <w:shd w:val="clear" w:color="auto" w:fill="FFFFFF"/>
        </w:rPr>
        <w:t xml:space="preserve"> </w:t>
      </w:r>
      <w:r>
        <w:rPr>
          <w:rFonts w:ascii="Times New Roman" w:hAnsi="Times New Roman" w:cs="Times New Roman"/>
          <w:sz w:val="24"/>
        </w:rPr>
        <w:t>The annual catch and fishing effort (vessel-days) of the Chinese squid jigging fishery is shown in Fig.</w:t>
      </w:r>
      <w:r>
        <w:rPr>
          <w:rFonts w:ascii="Times New Roman" w:hAnsi="Times New Roman" w:cs="Times New Roman" w:hint="eastAsia"/>
          <w:sz w:val="24"/>
        </w:rPr>
        <w:t xml:space="preserve"> </w:t>
      </w:r>
      <w:r>
        <w:rPr>
          <w:rFonts w:ascii="Times New Roman" w:hAnsi="Times New Roman" w:cs="Times New Roman"/>
          <w:sz w:val="24"/>
        </w:rPr>
        <w:t>1, and the spatial distribution of monthly nominal CPUE is shown in Fig.</w:t>
      </w:r>
      <w:r>
        <w:rPr>
          <w:rFonts w:ascii="Times New Roman" w:hAnsi="Times New Roman" w:cs="Times New Roman" w:hint="eastAsia"/>
          <w:sz w:val="24"/>
        </w:rPr>
        <w:t xml:space="preserve"> </w:t>
      </w:r>
      <w:r>
        <w:rPr>
          <w:rFonts w:ascii="Times New Roman" w:hAnsi="Times New Roman" w:cs="Times New Roman"/>
          <w:sz w:val="24"/>
        </w:rPr>
        <w:t>2.</w:t>
      </w:r>
    </w:p>
    <w:p w14:paraId="1CF21F5B" w14:textId="77777777" w:rsidR="00A72648" w:rsidRDefault="00000000">
      <w:pPr>
        <w:spacing w:line="300" w:lineRule="auto"/>
        <w:ind w:firstLineChars="200" w:firstLine="480"/>
        <w:rPr>
          <w:rFonts w:ascii="Times New Roman" w:hAnsi="Times New Roman" w:cs="Times New Roman"/>
          <w:sz w:val="24"/>
        </w:rPr>
      </w:pPr>
      <w:r>
        <w:rPr>
          <w:rFonts w:ascii="Times New Roman" w:hAnsi="Times New Roman" w:cs="Times New Roman"/>
          <w:sz w:val="24"/>
        </w:rPr>
        <w:t>Explanatory variables included:</w:t>
      </w:r>
    </w:p>
    <w:p w14:paraId="1CF21F5C" w14:textId="77777777" w:rsidR="00A72648" w:rsidRDefault="00000000">
      <w:pPr>
        <w:spacing w:line="300" w:lineRule="auto"/>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Spatial variables: Longitude (Lon), Latitude (Lat)</w:t>
      </w:r>
    </w:p>
    <w:p w14:paraId="1CF21F5D" w14:textId="77777777" w:rsidR="00A72648" w:rsidRDefault="00000000">
      <w:pPr>
        <w:spacing w:line="300" w:lineRule="auto"/>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Temporal</w:t>
      </w:r>
      <w:r>
        <w:rPr>
          <w:rFonts w:ascii="Times New Roman" w:hAnsi="Times New Roman" w:cs="Times New Roman" w:hint="eastAsia"/>
          <w:sz w:val="24"/>
        </w:rPr>
        <w:t xml:space="preserve"> </w:t>
      </w:r>
      <w:r>
        <w:rPr>
          <w:rFonts w:ascii="Times New Roman" w:hAnsi="Times New Roman" w:cs="Times New Roman"/>
          <w:sz w:val="24"/>
        </w:rPr>
        <w:t xml:space="preserve">variables: Year, Month </w:t>
      </w:r>
    </w:p>
    <w:p w14:paraId="1CF21F5E" w14:textId="77777777" w:rsidR="00A72648" w:rsidRDefault="00000000">
      <w:pPr>
        <w:spacing w:line="300" w:lineRule="auto"/>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 xml:space="preserve">Environmental variables: Sea surface temperature (SST, Temp_0), sea surface </w:t>
      </w:r>
      <w:r>
        <w:rPr>
          <w:rFonts w:ascii="Times New Roman" w:hAnsi="Times New Roman" w:cs="Times New Roman"/>
          <w:sz w:val="24"/>
        </w:rPr>
        <w:lastRenderedPageBreak/>
        <w:t>salinity (SSS, Sali_0), mixed layer depth (MLD), sea surface height (SSH)</w:t>
      </w:r>
    </w:p>
    <w:p w14:paraId="1CF21F5F" w14:textId="77777777" w:rsidR="00A72648" w:rsidRDefault="00000000">
      <w:pPr>
        <w:spacing w:line="300" w:lineRule="auto"/>
        <w:ind w:firstLineChars="200" w:firstLine="480"/>
        <w:rPr>
          <w:rFonts w:ascii="Times New Roman" w:hAnsi="Times New Roman" w:cs="Times New Roman"/>
          <w:sz w:val="24"/>
        </w:rPr>
      </w:pPr>
      <w:r>
        <w:rPr>
          <w:rFonts w:ascii="Times New Roman" w:hAnsi="Times New Roman" w:cs="Times New Roman"/>
          <w:sz w:val="24"/>
        </w:rPr>
        <w:t>Environmental data were extracted from the Copernicus Marine Data Store at 0.083°×0.083° resolution and matched to corresponding 1°×1° fishing grids. These variables were selected based on established ecological relationships</w:t>
      </w:r>
      <w:r>
        <w:rPr>
          <w:rFonts w:ascii="Times New Roman" w:hAnsi="Times New Roman" w:cs="Times New Roman" w:hint="eastAsia"/>
          <w:sz w:val="24"/>
        </w:rPr>
        <w:t>.</w:t>
      </w:r>
    </w:p>
    <w:p w14:paraId="1CF21F60" w14:textId="77777777" w:rsidR="00A72648" w:rsidRDefault="00000000">
      <w:pPr>
        <w:spacing w:line="300" w:lineRule="auto"/>
        <w:ind w:firstLineChars="200" w:firstLine="480"/>
        <w:rPr>
          <w:rFonts w:ascii="Times New Roman" w:eastAsia="SimSun" w:hAnsi="Times New Roman" w:cs="Times New Roman"/>
          <w:sz w:val="24"/>
        </w:rPr>
      </w:pPr>
      <w:r>
        <w:rPr>
          <w:rFonts w:ascii="Times New Roman" w:eastAsia="Segoe UI Emoji" w:hAnsi="Times New Roman" w:cs="Times New Roman"/>
          <w:color w:val="000000"/>
          <w:sz w:val="24"/>
        </w:rPr>
        <w:t xml:space="preserve">Variance Inflation Factor (VIF) and Spearman correlation coefficient among explanatory variables were calculated (Table </w:t>
      </w:r>
      <w:r>
        <w:rPr>
          <w:rFonts w:ascii="Times New Roman" w:eastAsia="SimSun" w:hAnsi="Times New Roman" w:cs="Times New Roman" w:hint="eastAsia"/>
          <w:color w:val="000000"/>
          <w:sz w:val="24"/>
        </w:rPr>
        <w:t>1</w:t>
      </w:r>
      <w:r>
        <w:rPr>
          <w:rFonts w:ascii="Times New Roman" w:eastAsia="Segoe UI Emoji" w:hAnsi="Times New Roman" w:cs="Times New Roman"/>
          <w:color w:val="000000"/>
          <w:sz w:val="24"/>
        </w:rPr>
        <w:t xml:space="preserve">) and correlations among variables were shown in </w:t>
      </w:r>
      <w:proofErr w:type="gramStart"/>
      <w:r>
        <w:rPr>
          <w:rFonts w:ascii="Times New Roman" w:eastAsia="Segoe UI Emoji" w:hAnsi="Times New Roman" w:cs="Times New Roman"/>
          <w:color w:val="000000"/>
          <w:sz w:val="24"/>
        </w:rPr>
        <w:t>the Fig</w:t>
      </w:r>
      <w:proofErr w:type="gramEnd"/>
      <w:r>
        <w:rPr>
          <w:rFonts w:ascii="Times New Roman" w:eastAsia="SimSun" w:hAnsi="Times New Roman" w:cs="Times New Roman" w:hint="eastAsia"/>
          <w:color w:val="000000"/>
          <w:sz w:val="24"/>
        </w:rPr>
        <w:t>. 3</w:t>
      </w:r>
      <w:r>
        <w:rPr>
          <w:rFonts w:ascii="Times New Roman" w:eastAsia="Segoe UI Emoji" w:hAnsi="Times New Roman" w:cs="Times New Roman"/>
          <w:color w:val="000000"/>
          <w:sz w:val="24"/>
        </w:rPr>
        <w:t>.</w:t>
      </w:r>
      <w:r>
        <w:rPr>
          <w:rFonts w:ascii="Times New Roman" w:eastAsia="SimSun" w:hAnsi="Times New Roman" w:cs="Times New Roman" w:hint="eastAsia"/>
          <w:color w:val="000000"/>
          <w:sz w:val="24"/>
        </w:rPr>
        <w:t xml:space="preserve"> </w:t>
      </w:r>
      <w:r>
        <w:rPr>
          <w:rFonts w:ascii="Times New Roman" w:eastAsia="Segoe UI" w:hAnsi="Times New Roman" w:cs="Times New Roman"/>
          <w:color w:val="0F1115"/>
          <w:sz w:val="24"/>
          <w:shd w:val="clear" w:color="auto" w:fill="FFFFFF"/>
        </w:rPr>
        <w:t>All VIF values were below 10 (range: 1.58-5.22), indicating no severe multicollinearity among the predictor variables.</w:t>
      </w:r>
    </w:p>
    <w:p w14:paraId="1CF21F61" w14:textId="77777777" w:rsidR="00A72648" w:rsidRDefault="00000000">
      <w:pPr>
        <w:pStyle w:val="Heading2"/>
        <w:spacing w:line="240" w:lineRule="auto"/>
        <w:rPr>
          <w:rFonts w:ascii="Times New Roman" w:hAnsi="Times New Roman" w:cs="Times New Roman"/>
          <w:sz w:val="24"/>
          <w:szCs w:val="24"/>
        </w:rPr>
      </w:pPr>
      <w:r>
        <w:rPr>
          <w:rFonts w:ascii="Times New Roman" w:hAnsi="Times New Roman" w:cs="Times New Roman"/>
          <w:sz w:val="24"/>
          <w:szCs w:val="24"/>
        </w:rPr>
        <w:t>2.2. CPUE standardization models</w:t>
      </w:r>
    </w:p>
    <w:p w14:paraId="1CF21F62"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Three modeling approaches were employed for CPUE standardization: Generalized Additive Model (GAM), Random Forest (RF), and Gradient Boosting Machine (GBM).</w:t>
      </w:r>
    </w:p>
    <w:p w14:paraId="1CF21F63"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For the GAM, a Gaussian model was fitted using the </w:t>
      </w:r>
      <w:proofErr w:type="spellStart"/>
      <w:r>
        <w:rPr>
          <w:rFonts w:ascii="Times New Roman" w:hAnsi="Times New Roman" w:cs="Times New Roman"/>
          <w:sz w:val="24"/>
        </w:rPr>
        <w:t>mgcv</w:t>
      </w:r>
      <w:proofErr w:type="spellEnd"/>
      <w:r>
        <w:rPr>
          <w:rFonts w:ascii="Times New Roman" w:hAnsi="Times New Roman" w:cs="Times New Roman"/>
          <w:sz w:val="24"/>
        </w:rPr>
        <w:t> package with the structure: </w:t>
      </w:r>
      <w:proofErr w:type="gramStart"/>
      <w:r>
        <w:rPr>
          <w:rFonts w:ascii="Times New Roman" w:hAnsi="Times New Roman" w:cs="Times New Roman"/>
          <w:sz w:val="24"/>
        </w:rPr>
        <w:t>log(</w:t>
      </w:r>
      <w:proofErr w:type="gramEnd"/>
      <w:r>
        <w:rPr>
          <w:rFonts w:ascii="Times New Roman" w:hAnsi="Times New Roman" w:cs="Times New Roman"/>
          <w:sz w:val="24"/>
        </w:rPr>
        <w:t xml:space="preserve">CPUE + c) ~ </w:t>
      </w:r>
      <w:proofErr w:type="gramStart"/>
      <w:r>
        <w:rPr>
          <w:rFonts w:ascii="Times New Roman" w:hAnsi="Times New Roman" w:cs="Times New Roman"/>
          <w:sz w:val="24"/>
        </w:rPr>
        <w:t>s(</w:t>
      </w:r>
      <w:proofErr w:type="gramEnd"/>
      <w:r>
        <w:rPr>
          <w:rFonts w:ascii="Times New Roman" w:hAnsi="Times New Roman" w:cs="Times New Roman"/>
          <w:sz w:val="24"/>
        </w:rPr>
        <w:t>Lon, Lat) + s(Temp_0) + s(Sali_0) + s(MLD) + s(SSH) + Year + Month, where </w:t>
      </w:r>
      <w:proofErr w:type="gramStart"/>
      <w:r>
        <w:rPr>
          <w:rFonts w:ascii="Times New Roman" w:hAnsi="Times New Roman" w:cs="Times New Roman"/>
          <w:sz w:val="24"/>
        </w:rPr>
        <w:t>s(</w:t>
      </w:r>
      <w:proofErr w:type="gramEnd"/>
      <w:r>
        <w:rPr>
          <w:rFonts w:ascii="Times New Roman" w:hAnsi="Times New Roman" w:cs="Times New Roman"/>
          <w:sz w:val="24"/>
        </w:rPr>
        <w:t>) denotes thin-plate regression splines.</w:t>
      </w:r>
    </w:p>
    <w:p w14:paraId="1CF21F64"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For RF and GBM analyses, the model structure </w:t>
      </w:r>
      <w:proofErr w:type="gramStart"/>
      <w:r>
        <w:rPr>
          <w:rFonts w:ascii="Times New Roman" w:hAnsi="Times New Roman" w:cs="Times New Roman"/>
          <w:sz w:val="24"/>
        </w:rPr>
        <w:t>was:</w:t>
      </w:r>
      <w:proofErr w:type="gramEnd"/>
      <w:r>
        <w:rPr>
          <w:rFonts w:ascii="Times New Roman" w:hAnsi="Times New Roman" w:cs="Times New Roman"/>
          <w:sz w:val="24"/>
        </w:rPr>
        <w:t> </w:t>
      </w:r>
      <w:proofErr w:type="gramStart"/>
      <w:r>
        <w:rPr>
          <w:rFonts w:ascii="Times New Roman" w:hAnsi="Times New Roman" w:cs="Times New Roman"/>
          <w:sz w:val="24"/>
        </w:rPr>
        <w:t>log(</w:t>
      </w:r>
      <w:proofErr w:type="gramEnd"/>
      <w:r>
        <w:rPr>
          <w:rFonts w:ascii="Times New Roman" w:hAnsi="Times New Roman" w:cs="Times New Roman"/>
          <w:sz w:val="24"/>
        </w:rPr>
        <w:t>CPUE + c) ~ Lon + Lat + Temp_0 + Sali_0 + MLD + SSH + Year + Month. RF was implemented using the </w:t>
      </w:r>
      <w:proofErr w:type="spellStart"/>
      <w:r>
        <w:rPr>
          <w:rFonts w:ascii="Times New Roman" w:hAnsi="Times New Roman" w:cs="Times New Roman"/>
          <w:sz w:val="24"/>
        </w:rPr>
        <w:t>randomForest</w:t>
      </w:r>
      <w:proofErr w:type="spellEnd"/>
      <w:r>
        <w:rPr>
          <w:rFonts w:ascii="Times New Roman" w:hAnsi="Times New Roman" w:cs="Times New Roman"/>
          <w:sz w:val="24"/>
        </w:rPr>
        <w:t> package and GBM using the </w:t>
      </w:r>
      <w:proofErr w:type="spellStart"/>
      <w:r>
        <w:rPr>
          <w:rFonts w:ascii="Times New Roman" w:hAnsi="Times New Roman" w:cs="Times New Roman"/>
          <w:sz w:val="24"/>
        </w:rPr>
        <w:t>gbm</w:t>
      </w:r>
      <w:proofErr w:type="spellEnd"/>
      <w:r>
        <w:rPr>
          <w:rFonts w:ascii="Times New Roman" w:hAnsi="Times New Roman" w:cs="Times New Roman"/>
          <w:sz w:val="24"/>
        </w:rPr>
        <w:t> package. The constant c for log-transformation was calculated as 10% of the mean positive CPUE within each dataset.</w:t>
      </w:r>
    </w:p>
    <w:p w14:paraId="1CF21F65"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Models were fitted separately for each cohort-specific analysis. For the stock-wide analysis, models were fitted to the pooled data from both cohorts, with the Stock factor included to account for baseline differences while estimating a common trend.</w:t>
      </w:r>
    </w:p>
    <w:p w14:paraId="1CF21F66" w14:textId="77777777" w:rsidR="00A72648" w:rsidRDefault="00000000">
      <w:pPr>
        <w:pStyle w:val="Heading2"/>
        <w:spacing w:line="240" w:lineRule="auto"/>
        <w:rPr>
          <w:rFonts w:ascii="Times New Roman" w:hAnsi="Times New Roman" w:cs="Times New Roman"/>
          <w:sz w:val="24"/>
          <w:szCs w:val="24"/>
        </w:rPr>
      </w:pPr>
      <w:r>
        <w:rPr>
          <w:rFonts w:ascii="Times New Roman" w:hAnsi="Times New Roman" w:cs="Times New Roman"/>
          <w:sz w:val="24"/>
          <w:szCs w:val="24"/>
        </w:rPr>
        <w:t>2.3. Model Evaluation and Diagnostics</w:t>
      </w:r>
    </w:p>
    <w:p w14:paraId="1CF21F67" w14:textId="77777777" w:rsidR="00A72648" w:rsidRDefault="00000000">
      <w:pPr>
        <w:spacing w:line="276" w:lineRule="auto"/>
        <w:ind w:firstLineChars="200" w:firstLine="480"/>
      </w:pPr>
      <w:r>
        <w:rPr>
          <w:rFonts w:ascii="Times New Roman" w:hAnsi="Times New Roman" w:cs="Times New Roman"/>
          <w:sz w:val="24"/>
        </w:rPr>
        <w:t>Key hyperparameters for RF and GBM are summarized in Table 2. Model performance was evaluated using Root Mean Square Error (RMSE) and the coefficient of determination (R²), with lower RMSE and higher R² indicating better explanatory power</w:t>
      </w:r>
      <w:r>
        <w:rPr>
          <w:rFonts w:ascii="Times New Roman" w:hAnsi="Times New Roman" w:cs="Times New Roman" w:hint="eastAsia"/>
          <w:sz w:val="24"/>
        </w:rPr>
        <w:t xml:space="preserve"> (Table 3)</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eastAsia="Segoe UI" w:hAnsi="Times New Roman" w:cs="Times New Roman"/>
          <w:color w:val="0F1115"/>
          <w:sz w:val="24"/>
          <w:shd w:val="clear" w:color="auto" w:fill="FFFFFF"/>
        </w:rPr>
        <w:t>While the RF model demonstrated relatively better performance metrics, results from all three models were retained and compared to illustrate the robustness of the derived trends—a key aspect of this multi-model approach. Diagnostic plots, including Normal Q-Q plots, histograms of residuals, and plots of residuals versus fitted values, were examined for all models. These diagnostics for the stock-wide models are presented in Fig. 4</w:t>
      </w:r>
      <w:r>
        <w:rPr>
          <w:rFonts w:ascii="Times New Roman" w:eastAsia="SimSun" w:hAnsi="Times New Roman" w:cs="Times New Roman" w:hint="eastAsia"/>
          <w:color w:val="0F1115"/>
          <w:sz w:val="24"/>
          <w:shd w:val="clear" w:color="auto" w:fill="FFFFFF"/>
        </w:rPr>
        <w:t>-</w:t>
      </w:r>
      <w:r>
        <w:rPr>
          <w:rFonts w:ascii="Times New Roman" w:eastAsia="Segoe UI" w:hAnsi="Times New Roman" w:cs="Times New Roman"/>
          <w:color w:val="0F1115"/>
          <w:sz w:val="24"/>
          <w:shd w:val="clear" w:color="auto" w:fill="FFFFFF"/>
        </w:rPr>
        <w:t>6, confirming no major violations of model assumptions.</w:t>
      </w:r>
    </w:p>
    <w:p w14:paraId="1CF21F68" w14:textId="77777777" w:rsidR="00A72648" w:rsidRDefault="00000000">
      <w:pPr>
        <w:pStyle w:val="Heading2"/>
        <w:spacing w:line="240" w:lineRule="auto"/>
        <w:rPr>
          <w:rFonts w:ascii="Times New Roman" w:hAnsi="Times New Roman" w:cs="Times New Roman"/>
          <w:sz w:val="24"/>
          <w:szCs w:val="24"/>
        </w:rPr>
      </w:pPr>
      <w:r>
        <w:rPr>
          <w:rFonts w:ascii="Times New Roman" w:hAnsi="Times New Roman" w:cs="Times New Roman"/>
          <w:sz w:val="24"/>
          <w:szCs w:val="24"/>
        </w:rPr>
        <w:lastRenderedPageBreak/>
        <w:t>2.4. Extraction of Standardized CPUE and Uncertainty Calculation</w:t>
      </w:r>
    </w:p>
    <w:p w14:paraId="1CF21F69" w14:textId="77777777" w:rsidR="00A72648" w:rsidRDefault="00000000">
      <w:pPr>
        <w:spacing w:line="276" w:lineRule="auto"/>
        <w:ind w:firstLineChars="200" w:firstLine="480"/>
      </w:pPr>
      <w:r>
        <w:rPr>
          <w:rFonts w:ascii="Times New Roman" w:hAnsi="Times New Roman" w:cs="Times New Roman"/>
          <w:sz w:val="24"/>
        </w:rPr>
        <w:t xml:space="preserve">To extract annual indices representing abundance trends, standardized CPUE was predicted for each year while holding other variables constant. Spatial and environmental variables were fixed at their overall mean values. </w:t>
      </w:r>
      <w:r>
        <w:rPr>
          <w:rFonts w:ascii="Times New Roman" w:eastAsia="Segoe UI" w:hAnsi="Times New Roman" w:cs="Times New Roman"/>
          <w:color w:val="0F1115"/>
          <w:sz w:val="24"/>
          <w:shd w:val="clear" w:color="auto" w:fill="FFFFFF"/>
        </w:rPr>
        <w:t xml:space="preserve">The Month factor was fixed </w:t>
      </w:r>
      <w:proofErr w:type="gramStart"/>
      <w:r>
        <w:rPr>
          <w:rFonts w:ascii="Times New Roman" w:eastAsia="Segoe UI" w:hAnsi="Times New Roman" w:cs="Times New Roman"/>
          <w:color w:val="0F1115"/>
          <w:sz w:val="24"/>
          <w:shd w:val="clear" w:color="auto" w:fill="FFFFFF"/>
        </w:rPr>
        <w:t>at</w:t>
      </w:r>
      <w:proofErr w:type="gramEnd"/>
      <w:r>
        <w:rPr>
          <w:rFonts w:ascii="Times New Roman" w:eastAsia="Segoe UI" w:hAnsi="Times New Roman" w:cs="Times New Roman"/>
          <w:color w:val="0F1115"/>
          <w:sz w:val="24"/>
          <w:shd w:val="clear" w:color="auto" w:fill="FFFFFF"/>
        </w:rPr>
        <w:t xml:space="preserve"> May, the starting month of the fishing season for both cohorts. For the stock-wide analysis, the Stock factor was also fixed. Each fitted model was then used to predict </w:t>
      </w:r>
      <w:proofErr w:type="gramStart"/>
      <w:r>
        <w:rPr>
          <w:rFonts w:ascii="Times New Roman" w:eastAsia="Segoe UI" w:hAnsi="Times New Roman" w:cs="Times New Roman"/>
          <w:color w:val="0F1115"/>
          <w:sz w:val="24"/>
          <w:shd w:val="clear" w:color="auto" w:fill="FFFFFF"/>
        </w:rPr>
        <w:t>log(</w:t>
      </w:r>
      <w:proofErr w:type="gramEnd"/>
      <w:r>
        <w:rPr>
          <w:rFonts w:ascii="Times New Roman" w:eastAsia="Segoe UI" w:hAnsi="Times New Roman" w:cs="Times New Roman"/>
          <w:color w:val="0F1115"/>
          <w:sz w:val="24"/>
          <w:shd w:val="clear" w:color="auto" w:fill="FFFFFF"/>
        </w:rPr>
        <w:t xml:space="preserve">CPUE + c) for each level of the Year factor under this common scenario. The resulting prediction represents the expected </w:t>
      </w:r>
      <w:proofErr w:type="gramStart"/>
      <w:r>
        <w:rPr>
          <w:rFonts w:ascii="Times New Roman" w:eastAsia="Segoe UI" w:hAnsi="Times New Roman" w:cs="Times New Roman"/>
          <w:color w:val="0F1115"/>
          <w:sz w:val="24"/>
          <w:shd w:val="clear" w:color="auto" w:fill="FFFFFF"/>
        </w:rPr>
        <w:t>log(</w:t>
      </w:r>
      <w:proofErr w:type="gramEnd"/>
      <w:r>
        <w:rPr>
          <w:rFonts w:ascii="Times New Roman" w:eastAsia="Segoe UI" w:hAnsi="Times New Roman" w:cs="Times New Roman"/>
          <w:color w:val="0F1115"/>
          <w:sz w:val="24"/>
          <w:shd w:val="clear" w:color="auto" w:fill="FFFFFF"/>
        </w:rPr>
        <w:t xml:space="preserve">CPUE) for that year relative to others, assuming all other conditions were at the baseline state. The final standardized CPUE index for each year was obtained by </w:t>
      </w:r>
      <w:proofErr w:type="gramStart"/>
      <w:r>
        <w:rPr>
          <w:rFonts w:ascii="Times New Roman" w:eastAsia="Segoe UI" w:hAnsi="Times New Roman" w:cs="Times New Roman"/>
          <w:color w:val="0F1115"/>
          <w:sz w:val="24"/>
          <w:shd w:val="clear" w:color="auto" w:fill="FFFFFF"/>
        </w:rPr>
        <w:t>back-transforming</w:t>
      </w:r>
      <w:proofErr w:type="gramEnd"/>
      <w:r>
        <w:rPr>
          <w:rFonts w:ascii="Times New Roman" w:eastAsia="Segoe UI" w:hAnsi="Times New Roman" w:cs="Times New Roman"/>
          <w:color w:val="0F1115"/>
          <w:sz w:val="24"/>
          <w:shd w:val="clear" w:color="auto" w:fill="FFFFFF"/>
        </w:rPr>
        <w:t xml:space="preserve"> the prediction: Standardized CPUE = </w:t>
      </w:r>
      <w:proofErr w:type="gramStart"/>
      <w:r>
        <w:rPr>
          <w:rFonts w:ascii="Times New Roman" w:eastAsia="Segoe UI" w:hAnsi="Times New Roman" w:cs="Times New Roman"/>
          <w:color w:val="0F1115"/>
          <w:sz w:val="24"/>
          <w:shd w:val="clear" w:color="auto" w:fill="FFFFFF"/>
        </w:rPr>
        <w:t>exp(</w:t>
      </w:r>
      <w:proofErr w:type="gramEnd"/>
      <w:r>
        <w:rPr>
          <w:rFonts w:ascii="Times New Roman" w:eastAsia="Segoe UI" w:hAnsi="Times New Roman" w:cs="Times New Roman"/>
          <w:color w:val="0F1115"/>
          <w:sz w:val="24"/>
          <w:shd w:val="clear" w:color="auto" w:fill="FFFFFF"/>
        </w:rPr>
        <w:t>predicted value).</w:t>
      </w:r>
      <w:r>
        <w:rPr>
          <w:rFonts w:ascii="Times New Roman" w:eastAsia="SimSun" w:hAnsi="Times New Roman" w:cs="Times New Roman" w:hint="eastAsia"/>
          <w:color w:val="0F1115"/>
          <w:sz w:val="24"/>
          <w:shd w:val="clear" w:color="auto" w:fill="FFFFFF"/>
        </w:rPr>
        <w:t xml:space="preserve"> </w:t>
      </w:r>
    </w:p>
    <w:p w14:paraId="1CF21F6A"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Uncertainty was estimated using model-appropriate methods:</w:t>
      </w:r>
    </w:p>
    <w:p w14:paraId="1CF21F6B"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GAM: The standard error of the linear predictor from the </w:t>
      </w:r>
      <w:proofErr w:type="spellStart"/>
      <w:r>
        <w:rPr>
          <w:rFonts w:ascii="Times New Roman" w:hAnsi="Times New Roman" w:cs="Times New Roman"/>
          <w:sz w:val="24"/>
        </w:rPr>
        <w:t>predict.gam</w:t>
      </w:r>
      <w:proofErr w:type="spellEnd"/>
      <w:r>
        <w:rPr>
          <w:rFonts w:ascii="Times New Roman" w:hAnsi="Times New Roman" w:cs="Times New Roman"/>
          <w:sz w:val="24"/>
        </w:rPr>
        <w:t> function.</w:t>
      </w:r>
    </w:p>
    <w:p w14:paraId="1CF21F6C"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RF: The standard deviation of predictions across all 500 individual trees in the ensemble.</w:t>
      </w:r>
    </w:p>
    <w:p w14:paraId="1CF21F6D" w14:textId="77777777" w:rsidR="00A72648" w:rsidRDefault="00000000">
      <w:pPr>
        <w:spacing w:line="276" w:lineRule="auto"/>
        <w:ind w:firstLineChars="200" w:firstLine="480"/>
      </w:pPr>
      <w:r>
        <w:rPr>
          <w:rFonts w:ascii="Times New Roman" w:hAnsi="Times New Roman" w:cs="Times New Roman"/>
          <w:sz w:val="24"/>
        </w:rPr>
        <w:t>GBM: The standard deviation of predictions from 200 bootstrap replicates of the model fitting process.</w:t>
      </w:r>
    </w:p>
    <w:p w14:paraId="1CF21F6E" w14:textId="77777777" w:rsidR="00A72648" w:rsidRDefault="00000000">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imSun" w:hAnsi="Times New Roman" w:cs="Times New Roman"/>
          <w:color w:val="000000"/>
          <w:sz w:val="24"/>
          <w:shd w:val="clear" w:color="auto" w:fill="FFFFFF"/>
        </w:rPr>
        <w:t xml:space="preserve">Coefficient of variation (CV, %) was calculated as CV = (standard deviation /Standardized CPUE) × 100. 95% confidence intervals were calculated on the log scale and </w:t>
      </w:r>
      <w:proofErr w:type="gramStart"/>
      <w:r>
        <w:rPr>
          <w:rFonts w:ascii="Times New Roman" w:eastAsia="SimSun" w:hAnsi="Times New Roman" w:cs="Times New Roman"/>
          <w:color w:val="000000"/>
          <w:sz w:val="24"/>
          <w:shd w:val="clear" w:color="auto" w:fill="FFFFFF"/>
        </w:rPr>
        <w:t>back-transformed</w:t>
      </w:r>
      <w:proofErr w:type="gramEnd"/>
      <w:r>
        <w:rPr>
          <w:rFonts w:ascii="Times New Roman" w:eastAsia="SimSun" w:hAnsi="Times New Roman" w:cs="Times New Roman"/>
          <w:color w:val="000000"/>
          <w:sz w:val="24"/>
          <w:shd w:val="clear" w:color="auto" w:fill="FFFFFF"/>
        </w:rPr>
        <w:t xml:space="preserve"> to the original scale. The GAM</w:t>
      </w:r>
      <w:r>
        <w:rPr>
          <w:rFonts w:ascii="Times New Roman" w:eastAsia="SimSun" w:hAnsi="Times New Roman" w:cs="Times New Roman" w:hint="eastAsia"/>
          <w:color w:val="000000"/>
          <w:sz w:val="24"/>
          <w:shd w:val="clear" w:color="auto" w:fill="FFFFFF"/>
        </w:rPr>
        <w:t xml:space="preserve"> model</w:t>
      </w:r>
      <w:r>
        <w:rPr>
          <w:rFonts w:ascii="Times New Roman" w:eastAsia="SimSun" w:hAnsi="Times New Roman" w:cs="Times New Roman"/>
          <w:color w:val="000000"/>
          <w:sz w:val="24"/>
          <w:shd w:val="clear" w:color="auto" w:fill="FFFFFF"/>
        </w:rPr>
        <w:t xml:space="preserve"> standardized CPUE indices for the winter-spring cohort, selected for presentation due to their reasonable uncertainty estimates (CV &lt; 20%) and longest time series (2005-2024), are provided in Table 4 with full uncertainty metrics.</w:t>
      </w:r>
    </w:p>
    <w:p w14:paraId="1CF21F6F" w14:textId="77777777" w:rsidR="00A72648" w:rsidRDefault="00000000">
      <w:pPr>
        <w:pStyle w:val="Heading1"/>
        <w:spacing w:line="240" w:lineRule="auto"/>
        <w:rPr>
          <w:rFonts w:ascii="Times New Roman" w:hAnsi="Times New Roman" w:cs="Times New Roman"/>
          <w:sz w:val="28"/>
          <w:szCs w:val="28"/>
        </w:rPr>
      </w:pPr>
      <w:r>
        <w:rPr>
          <w:rFonts w:ascii="Times New Roman" w:hAnsi="Times New Roman" w:cs="Times New Roman"/>
          <w:sz w:val="28"/>
          <w:szCs w:val="28"/>
        </w:rPr>
        <w:t>3. Results</w:t>
      </w:r>
    </w:p>
    <w:p w14:paraId="1CF21F70" w14:textId="77777777" w:rsidR="00A72648" w:rsidRDefault="00000000">
      <w:pPr>
        <w:pStyle w:val="Heading1"/>
        <w:spacing w:before="260" w:after="260" w:line="240" w:lineRule="auto"/>
        <w:rPr>
          <w:rFonts w:ascii="Times New Roman" w:hAnsi="Times New Roman" w:cs="Times New Roman"/>
          <w:sz w:val="24"/>
          <w:szCs w:val="24"/>
        </w:rPr>
      </w:pPr>
      <w:r>
        <w:rPr>
          <w:rFonts w:ascii="Times New Roman" w:hAnsi="Times New Roman" w:cs="Times New Roman"/>
          <w:sz w:val="24"/>
          <w:szCs w:val="24"/>
        </w:rPr>
        <w:t>3.1. Model Performance and Consistency</w:t>
      </w:r>
    </w:p>
    <w:p w14:paraId="1CF21F71"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Model performance metrics are summarized in Table </w:t>
      </w:r>
      <w:r>
        <w:rPr>
          <w:rFonts w:ascii="Times New Roman" w:hAnsi="Times New Roman" w:cs="Times New Roman" w:hint="eastAsia"/>
          <w:sz w:val="24"/>
        </w:rPr>
        <w:t>3</w:t>
      </w:r>
      <w:r>
        <w:rPr>
          <w:rFonts w:ascii="Times New Roman" w:hAnsi="Times New Roman" w:cs="Times New Roman"/>
          <w:sz w:val="24"/>
        </w:rPr>
        <w:t>. The RF models consistently yielded the highest R² values. Despite differences in absolute performance, the interannual trends produced by all three models were highly consistent for each stock unit. Pairwise Pearson correlation coefficients between the annual indices from the three models were high: ranging from 0.977 to 0.988 for the winter-spring cohort, 0.948 to 0.962 for the autumn cohort, and 0.984 to 0.992 for the stock-wide indices (visualized in the correlation heatmap, Fig. 8).</w:t>
      </w:r>
    </w:p>
    <w:p w14:paraId="1CF21F72" w14:textId="77777777" w:rsidR="00A72648" w:rsidRDefault="00000000">
      <w:pPr>
        <w:pStyle w:val="Heading2"/>
        <w:spacing w:line="240" w:lineRule="auto"/>
        <w:rPr>
          <w:rFonts w:ascii="Times New Roman" w:hAnsi="Times New Roman" w:cs="Times New Roman"/>
          <w:sz w:val="24"/>
          <w:szCs w:val="24"/>
        </w:rPr>
      </w:pPr>
      <w:r>
        <w:rPr>
          <w:rFonts w:ascii="Times New Roman" w:hAnsi="Times New Roman" w:cs="Times New Roman"/>
          <w:sz w:val="24"/>
          <w:szCs w:val="24"/>
        </w:rPr>
        <w:lastRenderedPageBreak/>
        <w:t>3.2. Standardized CPUE Trends</w:t>
      </w:r>
    </w:p>
    <w:p w14:paraId="1CF21F73" w14:textId="77777777" w:rsidR="00A72648" w:rsidRDefault="00000000">
      <w:pPr>
        <w:spacing w:line="276" w:lineRule="auto"/>
        <w:ind w:firstLineChars="200" w:firstLine="480"/>
        <w:rPr>
          <w:rFonts w:ascii="Times New Roman" w:hAnsi="Times New Roman" w:cs="Times New Roman"/>
          <w:sz w:val="28"/>
          <w:szCs w:val="28"/>
        </w:rPr>
      </w:pPr>
      <w:r>
        <w:rPr>
          <w:rFonts w:ascii="Times New Roman" w:eastAsia="Segoe UI" w:hAnsi="Times New Roman" w:cs="Times New Roman"/>
          <w:color w:val="0F1115"/>
          <w:sz w:val="24"/>
          <w:shd w:val="clear" w:color="auto" w:fill="FFFFFF"/>
        </w:rPr>
        <w:t>The final standardized CPUE indices from all three models are presented in Fig. 7, with a direct comparison between nominal and standardized indices for the winter-spring cohort provided in Table 5. The nominal CPUE showed consistent historical trends with all three standardized CPUE series.</w:t>
      </w:r>
      <w:r>
        <w:rPr>
          <w:rFonts w:ascii="Times New Roman" w:eastAsia="SimSun" w:hAnsi="Times New Roman" w:cs="Times New Roman"/>
          <w:color w:val="0F1115"/>
          <w:sz w:val="24"/>
          <w:shd w:val="clear" w:color="auto" w:fill="FFFFFF"/>
        </w:rPr>
        <w:t xml:space="preserve"> </w:t>
      </w:r>
      <w:r>
        <w:rPr>
          <w:rFonts w:ascii="Times New Roman" w:eastAsia="Segoe UI" w:hAnsi="Times New Roman" w:cs="Times New Roman"/>
          <w:color w:val="0F1115"/>
          <w:sz w:val="24"/>
          <w:shd w:val="clear" w:color="auto" w:fill="FFFFFF"/>
        </w:rPr>
        <w:t xml:space="preserve">The index for the winter-spring </w:t>
      </w:r>
      <w:proofErr w:type="gramStart"/>
      <w:r>
        <w:rPr>
          <w:rFonts w:ascii="Times New Roman" w:eastAsia="Segoe UI" w:hAnsi="Times New Roman" w:cs="Times New Roman"/>
          <w:color w:val="0F1115"/>
          <w:sz w:val="24"/>
          <w:shd w:val="clear" w:color="auto" w:fill="FFFFFF"/>
        </w:rPr>
        <w:t>cohort</w:t>
      </w:r>
      <w:proofErr w:type="gramEnd"/>
      <w:r>
        <w:rPr>
          <w:rFonts w:ascii="Times New Roman" w:eastAsia="Segoe UI" w:hAnsi="Times New Roman" w:cs="Times New Roman"/>
          <w:color w:val="0F1115"/>
          <w:sz w:val="24"/>
          <w:shd w:val="clear" w:color="auto" w:fill="FFFFFF"/>
        </w:rPr>
        <w:t xml:space="preserve"> was high during 2005-2007, declined sharply, and has since fluctuated at relatively low levels. The autumn cohort index generally increased from the start of its series in 2012, </w:t>
      </w:r>
      <w:proofErr w:type="gramStart"/>
      <w:r>
        <w:rPr>
          <w:rFonts w:ascii="Times New Roman" w:eastAsia="Segoe UI" w:hAnsi="Times New Roman" w:cs="Times New Roman"/>
          <w:color w:val="0F1115"/>
          <w:sz w:val="24"/>
          <w:shd w:val="clear" w:color="auto" w:fill="FFFFFF"/>
        </w:rPr>
        <w:t>peaked</w:t>
      </w:r>
      <w:proofErr w:type="gramEnd"/>
      <w:r>
        <w:rPr>
          <w:rFonts w:ascii="Times New Roman" w:eastAsia="Segoe UI" w:hAnsi="Times New Roman" w:cs="Times New Roman"/>
          <w:color w:val="0F1115"/>
          <w:sz w:val="24"/>
          <w:shd w:val="clear" w:color="auto" w:fill="FFFFFF"/>
        </w:rPr>
        <w:t xml:space="preserve"> around 2019-2020, and has shown a recent declining trend. The stock-wide index reflects a composite of these dynamics.</w:t>
      </w:r>
    </w:p>
    <w:p w14:paraId="1CF21F74" w14:textId="77777777" w:rsidR="00A72648" w:rsidRDefault="00000000">
      <w:pPr>
        <w:pStyle w:val="Heading1"/>
        <w:spacing w:line="240" w:lineRule="auto"/>
        <w:rPr>
          <w:rFonts w:ascii="Times New Roman" w:hAnsi="Times New Roman" w:cs="Times New Roman"/>
          <w:sz w:val="28"/>
          <w:szCs w:val="28"/>
        </w:rPr>
      </w:pPr>
      <w:r>
        <w:rPr>
          <w:rFonts w:ascii="Times New Roman" w:hAnsi="Times New Roman" w:cs="Times New Roman"/>
          <w:sz w:val="28"/>
          <w:szCs w:val="28"/>
        </w:rPr>
        <w:t>4. Discussion</w:t>
      </w:r>
    </w:p>
    <w:p w14:paraId="1CF21F75" w14:textId="77777777" w:rsidR="00A72648" w:rsidRDefault="00000000">
      <w:pPr>
        <w:spacing w:line="276" w:lineRule="auto"/>
        <w:ind w:firstLineChars="200" w:firstLine="480"/>
        <w:rPr>
          <w:rFonts w:ascii="Times New Roman" w:eastAsia="Segoe UI" w:hAnsi="Times New Roman" w:cs="Times New Roman"/>
          <w:color w:val="0F1115"/>
          <w:sz w:val="24"/>
          <w:shd w:val="clear" w:color="auto" w:fill="FFFFFF"/>
        </w:rPr>
      </w:pPr>
      <w:r>
        <w:rPr>
          <w:rFonts w:ascii="Times New Roman" w:eastAsia="Segoe UI" w:hAnsi="Times New Roman" w:cs="Times New Roman"/>
          <w:color w:val="0F1115"/>
          <w:sz w:val="24"/>
          <w:shd w:val="clear" w:color="auto" w:fill="FFFFFF"/>
        </w:rPr>
        <w:t xml:space="preserve">This study provides updated, multi-model standardized CPUE indices for neon flying squid in the Northwest Pacific. The high concordance among three fundamentally different modeling techniques strongly suggests that the derived indices reflect true interannual changes in relative abundance, enhancing their credibility for use in stock assessment. The observed trends </w:t>
      </w:r>
      <w:proofErr w:type="gramStart"/>
      <w:r>
        <w:rPr>
          <w:rFonts w:ascii="Times New Roman" w:eastAsia="Segoe UI" w:hAnsi="Times New Roman" w:cs="Times New Roman"/>
          <w:color w:val="0F1115"/>
          <w:sz w:val="24"/>
          <w:shd w:val="clear" w:color="auto" w:fill="FFFFFF"/>
        </w:rPr>
        <w:t>align</w:t>
      </w:r>
      <w:proofErr w:type="gramEnd"/>
      <w:r>
        <w:rPr>
          <w:rFonts w:ascii="Times New Roman" w:eastAsia="Segoe UI" w:hAnsi="Times New Roman" w:cs="Times New Roman"/>
          <w:color w:val="0F1115"/>
          <w:sz w:val="24"/>
          <w:shd w:val="clear" w:color="auto" w:fill="FFFFFF"/>
        </w:rPr>
        <w:t xml:space="preserve"> with known cohort-specific dynamics reported in the literature. The decision to present multiple model outputs, rather than a single index, explicitly characterizes and acknowledges model-based uncertainty in the standardization process. These indices, based on Chinese fishery data, serve as robust inputs for assessing the stock status under the NPFC framework.</w:t>
      </w:r>
    </w:p>
    <w:p w14:paraId="1CF21F76" w14:textId="77777777" w:rsidR="00A72648" w:rsidRDefault="00000000">
      <w:pPr>
        <w:spacing w:line="276" w:lineRule="auto"/>
        <w:ind w:firstLineChars="200" w:firstLine="480"/>
        <w:rPr>
          <w:rFonts w:ascii="Times New Roman" w:hAnsi="Times New Roman" w:cs="Times New Roman"/>
          <w:sz w:val="24"/>
        </w:rPr>
      </w:pPr>
      <w:r>
        <w:rPr>
          <w:rFonts w:ascii="Times New Roman" w:hAnsi="Times New Roman" w:cs="Times New Roman"/>
          <w:sz w:val="24"/>
        </w:rPr>
        <w:t>We</w:t>
      </w:r>
      <w:r>
        <w:rPr>
          <w:rFonts w:ascii="Times New Roman" w:hAnsi="Times New Roman" w:cs="Times New Roman" w:hint="eastAsia"/>
          <w:sz w:val="24"/>
        </w:rPr>
        <w:t xml:space="preserve"> </w:t>
      </w:r>
      <w:r>
        <w:rPr>
          <w:rFonts w:ascii="Times New Roman" w:hAnsi="Times New Roman" w:cs="Times New Roman"/>
          <w:sz w:val="24"/>
        </w:rPr>
        <w:t>standardized CPUE in accordance with the standardization protocol (NPFC-2025-SSC NFS02-Final Report Annex D). The checklist is shown in Appendix 1.</w:t>
      </w:r>
    </w:p>
    <w:p w14:paraId="1CF21F77" w14:textId="77777777" w:rsidR="00A72648" w:rsidRDefault="00A72648"/>
    <w:p w14:paraId="1CF21F78" w14:textId="77777777" w:rsidR="00A72648" w:rsidRDefault="00A72648"/>
    <w:p w14:paraId="1CF21F79" w14:textId="77777777" w:rsidR="00A72648" w:rsidRDefault="00A72648"/>
    <w:p w14:paraId="1CF21F7A" w14:textId="77777777" w:rsidR="00A72648" w:rsidRDefault="00000000">
      <w:pPr>
        <w:pStyle w:val="Heading1"/>
        <w:spacing w:before="0" w:after="0" w:line="240" w:lineRule="auto"/>
        <w:rPr>
          <w:rFonts w:ascii="Times New Roman" w:hAnsi="Times New Roman" w:cs="Times New Roman"/>
          <w:sz w:val="28"/>
          <w:szCs w:val="28"/>
        </w:rPr>
      </w:pPr>
      <w:r>
        <w:rPr>
          <w:rFonts w:ascii="Times New Roman" w:hAnsi="Times New Roman" w:cs="Times New Roman"/>
          <w:sz w:val="28"/>
          <w:szCs w:val="28"/>
        </w:rPr>
        <w:t>References</w:t>
      </w:r>
    </w:p>
    <w:p w14:paraId="1CF21F7B" w14:textId="77777777" w:rsidR="00A72648" w:rsidRDefault="00000000">
      <w:pPr>
        <w:spacing w:line="276" w:lineRule="auto"/>
        <w:ind w:left="480" w:hangingChars="200" w:hanging="480"/>
        <w:rPr>
          <w:rFonts w:ascii="Times New Roman" w:hAnsi="Times New Roman" w:cs="Times New Roman"/>
          <w:sz w:val="24"/>
        </w:rPr>
      </w:pPr>
      <w:r>
        <w:rPr>
          <w:rFonts w:ascii="Times New Roman" w:hAnsi="Times New Roman" w:cs="Times New Roman"/>
          <w:sz w:val="24"/>
        </w:rPr>
        <w:t>Murata</w:t>
      </w:r>
      <w:r>
        <w:rPr>
          <w:rFonts w:ascii="Times New Roman" w:hAnsi="Times New Roman" w:cs="Times New Roman" w:hint="eastAsia"/>
          <w:sz w:val="24"/>
        </w:rPr>
        <w:t xml:space="preserve"> M. 1990.</w:t>
      </w:r>
      <w:r>
        <w:rPr>
          <w:rFonts w:ascii="Times New Roman" w:hAnsi="Times New Roman" w:cs="Times New Roman"/>
          <w:sz w:val="24"/>
        </w:rPr>
        <w:t xml:space="preserve"> Oceanic resources of squids</w:t>
      </w:r>
      <w:r>
        <w:rPr>
          <w:rFonts w:ascii="Times New Roman" w:hAnsi="Times New Roman" w:cs="Times New Roman" w:hint="eastAsia"/>
          <w:sz w:val="24"/>
        </w:rPr>
        <w:t xml:space="preserve">. </w:t>
      </w:r>
      <w:r>
        <w:rPr>
          <w:rFonts w:ascii="Times New Roman" w:hAnsi="Times New Roman" w:cs="Times New Roman"/>
          <w:sz w:val="24"/>
        </w:rPr>
        <w:t xml:space="preserve">Marine </w:t>
      </w:r>
      <w:proofErr w:type="spellStart"/>
      <w:r>
        <w:rPr>
          <w:rFonts w:ascii="Times New Roman" w:hAnsi="Times New Roman" w:cs="Times New Roman"/>
          <w:sz w:val="24"/>
        </w:rPr>
        <w:t>Behaviour</w:t>
      </w:r>
      <w:proofErr w:type="spellEnd"/>
      <w:r>
        <w:rPr>
          <w:rFonts w:ascii="Times New Roman" w:hAnsi="Times New Roman" w:cs="Times New Roman"/>
          <w:sz w:val="24"/>
        </w:rPr>
        <w:t xml:space="preserve"> and Physiology</w:t>
      </w:r>
      <w:r>
        <w:rPr>
          <w:rFonts w:ascii="Times New Roman" w:hAnsi="Times New Roman" w:cs="Times New Roman" w:hint="eastAsia"/>
          <w:sz w:val="24"/>
        </w:rPr>
        <w:t>,</w:t>
      </w:r>
      <w:r>
        <w:rPr>
          <w:rFonts w:ascii="Times New Roman" w:hAnsi="Times New Roman" w:cs="Times New Roman"/>
          <w:sz w:val="24"/>
        </w:rPr>
        <w:t> </w:t>
      </w:r>
      <w:r>
        <w:rPr>
          <w:rFonts w:ascii="Times New Roman" w:hAnsi="Times New Roman" w:cs="Times New Roman" w:hint="eastAsia"/>
          <w:sz w:val="24"/>
        </w:rPr>
        <w:t>18: 19-71.</w:t>
      </w:r>
    </w:p>
    <w:p w14:paraId="1CF21F7C" w14:textId="77777777" w:rsidR="00A72648" w:rsidRDefault="00000000">
      <w:pPr>
        <w:spacing w:line="276" w:lineRule="auto"/>
        <w:ind w:left="480" w:hangingChars="200" w:hanging="480"/>
      </w:pPr>
      <w:proofErr w:type="spellStart"/>
      <w:r>
        <w:rPr>
          <w:rFonts w:ascii="Times New Roman" w:hAnsi="Times New Roman" w:cs="Times New Roman"/>
          <w:sz w:val="24"/>
        </w:rPr>
        <w:t>Yatsu</w:t>
      </w:r>
      <w:proofErr w:type="spellEnd"/>
      <w:r>
        <w:rPr>
          <w:rFonts w:ascii="Times New Roman" w:hAnsi="Times New Roman" w:cs="Times New Roman"/>
          <w:sz w:val="24"/>
        </w:rPr>
        <w:t xml:space="preserve"> A, Midorikawa S, Shimada T, </w:t>
      </w:r>
      <w:proofErr w:type="spellStart"/>
      <w:r>
        <w:rPr>
          <w:rFonts w:ascii="Times New Roman" w:hAnsi="Times New Roman" w:cs="Times New Roman" w:hint="eastAsia"/>
          <w:sz w:val="24"/>
        </w:rPr>
        <w:t>Uozumi</w:t>
      </w:r>
      <w:proofErr w:type="spellEnd"/>
      <w:r>
        <w:rPr>
          <w:rFonts w:ascii="Times New Roman" w:hAnsi="Times New Roman" w:cs="Times New Roman" w:hint="eastAsia"/>
          <w:sz w:val="24"/>
        </w:rPr>
        <w:t xml:space="preserve"> Y</w:t>
      </w:r>
      <w:r>
        <w:rPr>
          <w:rFonts w:ascii="Times New Roman" w:hAnsi="Times New Roman" w:cs="Times New Roman"/>
          <w:sz w:val="24"/>
        </w:rPr>
        <w:t xml:space="preserve">. 1997. Age and growth of 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w:t>
      </w:r>
      <w:proofErr w:type="spellEnd"/>
      <w:r>
        <w:rPr>
          <w:rFonts w:ascii="Times New Roman" w:hAnsi="Times New Roman" w:cs="Times New Roman"/>
          <w:sz w:val="24"/>
        </w:rPr>
        <w:t>, in the North Pacific Ocean. Fisheries Research, 29: 257-270.</w:t>
      </w:r>
    </w:p>
    <w:p w14:paraId="1CF21F7D" w14:textId="77777777" w:rsidR="00A72648" w:rsidRDefault="00000000">
      <w:pPr>
        <w:spacing w:line="276" w:lineRule="auto"/>
        <w:ind w:left="480" w:hangingChars="200" w:hanging="480"/>
        <w:rPr>
          <w:rFonts w:ascii="Times New Roman" w:hAnsi="Times New Roman" w:cs="Times New Roman"/>
          <w:sz w:val="24"/>
        </w:rPr>
      </w:pPr>
      <w:proofErr w:type="spellStart"/>
      <w:r>
        <w:rPr>
          <w:rFonts w:ascii="Times New Roman" w:hAnsi="Times New Roman" w:cs="Times New Roman" w:hint="eastAsia"/>
          <w:sz w:val="24"/>
        </w:rPr>
        <w:t>Yatsu</w:t>
      </w:r>
      <w:proofErr w:type="spellEnd"/>
      <w:r>
        <w:rPr>
          <w:rFonts w:ascii="Times New Roman" w:hAnsi="Times New Roman" w:cs="Times New Roman" w:hint="eastAsia"/>
          <w:sz w:val="24"/>
        </w:rPr>
        <w:t xml:space="preserve"> A, Tanaka H, Mori J. 1998. Population structure </w:t>
      </w:r>
      <w:proofErr w:type="spellStart"/>
      <w:r>
        <w:rPr>
          <w:rFonts w:ascii="Times New Roman" w:hAnsi="Times New Roman" w:cs="Times New Roman" w:hint="eastAsia"/>
          <w:sz w:val="24"/>
        </w:rPr>
        <w:t>ofthe</w:t>
      </w:r>
      <w:proofErr w:type="spellEnd"/>
      <w:r>
        <w:rPr>
          <w:rFonts w:ascii="Times New Roman" w:hAnsi="Times New Roman" w:cs="Times New Roman" w:hint="eastAsia"/>
          <w:sz w:val="24"/>
        </w:rPr>
        <w:t xml:space="preserve"> neon flying squid, </w:t>
      </w:r>
      <w:proofErr w:type="spellStart"/>
      <w:r>
        <w:rPr>
          <w:rFonts w:ascii="Times New Roman" w:hAnsi="Times New Roman" w:cs="Times New Roman" w:hint="eastAsia"/>
          <w:i/>
          <w:iCs/>
          <w:sz w:val="24"/>
        </w:rPr>
        <w:t>Ommastrephes</w:t>
      </w:r>
      <w:proofErr w:type="spellEnd"/>
      <w:r>
        <w:rPr>
          <w:rFonts w:ascii="Times New Roman" w:hAnsi="Times New Roman" w:cs="Times New Roman" w:hint="eastAsia"/>
          <w:i/>
          <w:iCs/>
          <w:sz w:val="24"/>
        </w:rPr>
        <w:t xml:space="preserve"> </w:t>
      </w:r>
      <w:proofErr w:type="spellStart"/>
      <w:r>
        <w:rPr>
          <w:rFonts w:ascii="Times New Roman" w:hAnsi="Times New Roman" w:cs="Times New Roman" w:hint="eastAsia"/>
          <w:i/>
          <w:iCs/>
          <w:sz w:val="24"/>
        </w:rPr>
        <w:t>bartramii</w:t>
      </w:r>
      <w:proofErr w:type="spellEnd"/>
      <w:r>
        <w:rPr>
          <w:rFonts w:ascii="Times New Roman" w:hAnsi="Times New Roman" w:cs="Times New Roman" w:hint="eastAsia"/>
          <w:sz w:val="24"/>
        </w:rPr>
        <w:t xml:space="preserve">, in the North Pacific. Japan marine fishery resources </w:t>
      </w:r>
      <w:proofErr w:type="spellStart"/>
      <w:r>
        <w:rPr>
          <w:rFonts w:ascii="Times New Roman" w:hAnsi="Times New Roman" w:cs="Times New Roman" w:hint="eastAsia"/>
          <w:sz w:val="24"/>
        </w:rPr>
        <w:t>researchcenter</w:t>
      </w:r>
      <w:proofErr w:type="spellEnd"/>
      <w:r>
        <w:rPr>
          <w:rFonts w:ascii="Times New Roman" w:hAnsi="Times New Roman" w:cs="Times New Roman" w:hint="eastAsia"/>
          <w:sz w:val="24"/>
        </w:rPr>
        <w:t>, p 31-48.</w:t>
      </w:r>
    </w:p>
    <w:p w14:paraId="1CF21F7E" w14:textId="77777777" w:rsidR="00A72648" w:rsidRDefault="00000000">
      <w:pPr>
        <w:spacing w:line="276" w:lineRule="auto"/>
        <w:ind w:left="480" w:hangingChars="200" w:hanging="480"/>
      </w:pPr>
      <w:r>
        <w:rPr>
          <w:rFonts w:ascii="Times New Roman" w:hAnsi="Times New Roman" w:cs="Times New Roman"/>
          <w:sz w:val="24"/>
        </w:rPr>
        <w:lastRenderedPageBreak/>
        <w:t>Campbell R A</w:t>
      </w:r>
      <w:r>
        <w:rPr>
          <w:rFonts w:ascii="Times New Roman" w:hAnsi="Times New Roman" w:cs="Times New Roman" w:hint="eastAsia"/>
          <w:sz w:val="24"/>
        </w:rPr>
        <w:t xml:space="preserve">. 2004. CPUE </w:t>
      </w:r>
      <w:proofErr w:type="spellStart"/>
      <w:r>
        <w:rPr>
          <w:rFonts w:ascii="Times New Roman" w:hAnsi="Times New Roman" w:cs="Times New Roman" w:hint="eastAsia"/>
          <w:sz w:val="24"/>
        </w:rPr>
        <w:t>standardisation</w:t>
      </w:r>
      <w:proofErr w:type="spellEnd"/>
      <w:r>
        <w:rPr>
          <w:rFonts w:ascii="Times New Roman" w:hAnsi="Times New Roman" w:cs="Times New Roman" w:hint="eastAsia"/>
          <w:sz w:val="24"/>
        </w:rPr>
        <w:t xml:space="preserve"> and the construction of indices of stock abundance in a spatially varying fishery using general linear models. </w:t>
      </w:r>
      <w:r>
        <w:rPr>
          <w:rFonts w:ascii="Times New Roman" w:hAnsi="Times New Roman" w:cs="Times New Roman"/>
          <w:sz w:val="24"/>
        </w:rPr>
        <w:t xml:space="preserve">Fisheries Research, </w:t>
      </w:r>
      <w:r>
        <w:rPr>
          <w:rFonts w:ascii="Times New Roman" w:hAnsi="Times New Roman" w:cs="Times New Roman" w:hint="eastAsia"/>
          <w:sz w:val="24"/>
        </w:rPr>
        <w:t>70</w:t>
      </w:r>
      <w:r>
        <w:rPr>
          <w:rFonts w:ascii="Times New Roman" w:hAnsi="Times New Roman" w:cs="Times New Roman"/>
          <w:sz w:val="24"/>
        </w:rPr>
        <w:t xml:space="preserve">: </w:t>
      </w:r>
      <w:r>
        <w:rPr>
          <w:rFonts w:ascii="Times New Roman" w:hAnsi="Times New Roman" w:cs="Times New Roman" w:hint="eastAsia"/>
          <w:sz w:val="24"/>
        </w:rPr>
        <w:t>209-227</w:t>
      </w:r>
      <w:r>
        <w:rPr>
          <w:rFonts w:ascii="Times New Roman" w:hAnsi="Times New Roman" w:cs="Times New Roman"/>
          <w:sz w:val="24"/>
        </w:rPr>
        <w:t>.</w:t>
      </w:r>
    </w:p>
    <w:p w14:paraId="1CF21F7F" w14:textId="77777777" w:rsidR="00A72648" w:rsidRDefault="00A72648"/>
    <w:p w14:paraId="1CF21F80" w14:textId="77777777" w:rsidR="00A72648" w:rsidRDefault="00A72648"/>
    <w:p w14:paraId="1CF21F81" w14:textId="77777777" w:rsidR="00A72648" w:rsidRDefault="00A72648"/>
    <w:p w14:paraId="1CF21F82" w14:textId="77777777" w:rsidR="00A72648" w:rsidRDefault="00000000">
      <w:pPr>
        <w:rPr>
          <w:rFonts w:ascii="Times New Roman" w:hAnsi="Times New Roman" w:cs="Times New Roman"/>
          <w:b/>
          <w:bCs/>
          <w:sz w:val="28"/>
          <w:szCs w:val="28"/>
        </w:rPr>
      </w:pPr>
      <w:r>
        <w:rPr>
          <w:rFonts w:ascii="Times New Roman" w:hAnsi="Times New Roman" w:cs="Times New Roman"/>
          <w:b/>
          <w:bCs/>
          <w:sz w:val="28"/>
          <w:szCs w:val="28"/>
        </w:rPr>
        <w:t>APPENDICES</w:t>
      </w:r>
    </w:p>
    <w:p w14:paraId="1CF21F83" w14:textId="77777777" w:rsidR="00A72648" w:rsidRDefault="00000000">
      <w:pPr>
        <w:rPr>
          <w:rFonts w:ascii="Times New Roman" w:hAnsi="Times New Roman" w:cs="Times New Roman"/>
        </w:rPr>
      </w:pPr>
      <w:r>
        <w:rPr>
          <w:rFonts w:ascii="Times New Roman" w:hAnsi="Times New Roman" w:cs="Times New Roman"/>
        </w:rPr>
        <w:t>Appendix1. Checklist for the CPUE standardization protocol</w:t>
      </w:r>
    </w:p>
    <w:tbl>
      <w:tblPr>
        <w:tblW w:w="4854" w:type="pct"/>
        <w:jc w:val="center"/>
        <w:tblCellMar>
          <w:top w:w="15" w:type="dxa"/>
          <w:left w:w="15" w:type="dxa"/>
          <w:bottom w:w="15" w:type="dxa"/>
          <w:right w:w="15" w:type="dxa"/>
        </w:tblCellMar>
        <w:tblLook w:val="04A0" w:firstRow="1" w:lastRow="0" w:firstColumn="1" w:lastColumn="0" w:noHBand="0" w:noVBand="1"/>
      </w:tblPr>
      <w:tblGrid>
        <w:gridCol w:w="645"/>
        <w:gridCol w:w="5666"/>
        <w:gridCol w:w="1939"/>
      </w:tblGrid>
      <w:tr w:rsidR="00A72648" w14:paraId="1CF21F87" w14:textId="77777777">
        <w:trPr>
          <w:jc w:val="center"/>
        </w:trPr>
        <w:tc>
          <w:tcPr>
            <w:tcW w:w="390" w:type="pct"/>
            <w:tcBorders>
              <w:top w:val="single" w:sz="4" w:space="0" w:color="000000"/>
              <w:left w:val="nil"/>
              <w:bottom w:val="single" w:sz="4" w:space="0" w:color="000000"/>
              <w:right w:val="nil"/>
              <w:tl2br w:val="nil"/>
            </w:tcBorders>
            <w:shd w:val="clear" w:color="auto" w:fill="FFFFFF"/>
            <w:tcMar>
              <w:top w:w="96" w:type="dxa"/>
              <w:left w:w="96" w:type="dxa"/>
              <w:bottom w:w="96" w:type="dxa"/>
              <w:right w:w="96" w:type="dxa"/>
            </w:tcMar>
            <w:vAlign w:val="center"/>
          </w:tcPr>
          <w:p w14:paraId="1CF21F8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Provide a description of the type of data (logbook, observer, survey, etc.), and the "resolution" of the data (aggregated, set-by-set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6" w14:textId="77777777" w:rsidR="00A72648" w:rsidRDefault="00000000">
            <w:pPr>
              <w:jc w:val="center"/>
              <w:rPr>
                <w:rFonts w:ascii="Times New Roman" w:eastAsia="SimSu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2.1, Paragraph 1-</w:t>
            </w:r>
            <w:r>
              <w:rPr>
                <w:rFonts w:ascii="Times New Roman" w:eastAsia="SimSun" w:hAnsi="Times New Roman" w:cs="Times New Roman"/>
                <w:color w:val="000000"/>
                <w:szCs w:val="21"/>
                <w:shd w:val="clear" w:color="auto" w:fill="FFFFFF"/>
              </w:rPr>
              <w:t>2)</w:t>
            </w:r>
          </w:p>
        </w:tc>
      </w:tr>
      <w:tr w:rsidR="00A72648" w14:paraId="1CF21F8B"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Identify potential explanatory variables (i.e., spatial, temporal, environmental, and fisheries variables) that may influence CPUE values.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2.1, Paragraph 4</w:t>
            </w:r>
            <w:r>
              <w:rPr>
                <w:rFonts w:ascii="Times New Roman" w:hAnsi="Times New Roman" w:cs="Times New Roman"/>
                <w:color w:val="000000"/>
                <w:szCs w:val="21"/>
              </w:rPr>
              <w:t>)</w:t>
            </w:r>
          </w:p>
        </w:tc>
      </w:tr>
      <w:tr w:rsidR="00A72648" w14:paraId="1CF21F8F"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3</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Plot annual/monthly spatial catch, effort and nominal CPUE distributions and determine temporal and spatial resolution for CPUE standardization.</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8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 xml:space="preserve">Fig. 1, Fig. </w:t>
            </w:r>
            <w:proofErr w:type="gramStart"/>
            <w:r>
              <w:rPr>
                <w:rFonts w:ascii="Times New Roman" w:eastAsia="Segoe UI" w:hAnsi="Times New Roman" w:cs="Times New Roman"/>
                <w:color w:val="000000"/>
                <w:szCs w:val="21"/>
                <w:shd w:val="clear" w:color="auto" w:fill="FFFFFF"/>
              </w:rPr>
              <w:t>2 </w:t>
            </w:r>
            <w:r>
              <w:rPr>
                <w:rFonts w:ascii="Times New Roman" w:hAnsi="Times New Roman" w:cs="Times New Roman"/>
                <w:color w:val="000000"/>
                <w:szCs w:val="21"/>
              </w:rPr>
              <w:t>)</w:t>
            </w:r>
            <w:proofErr w:type="gramEnd"/>
          </w:p>
        </w:tc>
      </w:tr>
      <w:tr w:rsidR="00A72648" w14:paraId="1CF21F93"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4</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Make scatter plots (for continuous variables) and/or box plots (for categorical variables) and present correlation matrix if </w:t>
            </w:r>
            <w:proofErr w:type="gramStart"/>
            <w:r>
              <w:rPr>
                <w:rFonts w:ascii="Times New Roman" w:hAnsi="Times New Roman" w:cs="Times New Roman"/>
                <w:color w:val="000000"/>
                <w:szCs w:val="21"/>
              </w:rPr>
              <w:t>possible</w:t>
            </w:r>
            <w:proofErr w:type="gramEnd"/>
            <w:r>
              <w:rPr>
                <w:rFonts w:ascii="Times New Roman" w:hAnsi="Times New Roman" w:cs="Times New Roman"/>
                <w:color w:val="000000"/>
                <w:szCs w:val="21"/>
              </w:rPr>
              <w:t xml:space="preserve"> to evaluate correlations between each pair of those variables.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Table 1, Fig. 3</w:t>
            </w:r>
            <w:r>
              <w:rPr>
                <w:rFonts w:ascii="Times New Roman" w:hAnsi="Times New Roman" w:cs="Times New Roman"/>
                <w:color w:val="000000"/>
                <w:szCs w:val="21"/>
              </w:rPr>
              <w:t>)</w:t>
            </w:r>
          </w:p>
        </w:tc>
      </w:tr>
      <w:tr w:rsidR="00A72648" w14:paraId="1CF21F97"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5</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Describe selected explanatory variables based on (2)-(4) to develop full model for the CPUE standardization.</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w:t>
            </w:r>
            <w:r>
              <w:rPr>
                <w:rFonts w:ascii="Times New Roman" w:eastAsia="SimSun" w:hAnsi="Times New Roman" w:cs="Times New Roman"/>
                <w:color w:val="000000"/>
                <w:szCs w:val="21"/>
                <w:shd w:val="clear" w:color="auto" w:fill="FFFFFF"/>
              </w:rPr>
              <w:t>1 and 2.2</w:t>
            </w:r>
            <w:r>
              <w:rPr>
                <w:rFonts w:ascii="Times New Roman" w:hAnsi="Times New Roman" w:cs="Times New Roman"/>
                <w:color w:val="000000"/>
                <w:szCs w:val="21"/>
              </w:rPr>
              <w:t>)</w:t>
            </w:r>
          </w:p>
        </w:tc>
      </w:tr>
      <w:tr w:rsidR="00A72648" w14:paraId="1CF21F9B"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6</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Specify model type and software (packages) and fit the data to the assumed statistical models (i.e., GLM, GAM, Delta-lognormal GLM, Neural Networks, Regression Trees, Habitat based models, and Statistical habitat based models).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2.2</w:t>
            </w:r>
            <w:r>
              <w:rPr>
                <w:rFonts w:ascii="Times New Roman" w:hAnsi="Times New Roman" w:cs="Times New Roman"/>
                <w:color w:val="000000"/>
                <w:szCs w:val="21"/>
              </w:rPr>
              <w:t>)</w:t>
            </w:r>
          </w:p>
        </w:tc>
      </w:tr>
      <w:tr w:rsidR="00A72648" w14:paraId="1CF21F9F"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7</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Evaluate and select the best model(s) using methods such as likelihood ratio test, information </w:t>
            </w:r>
            <w:proofErr w:type="gramStart"/>
            <w:r>
              <w:rPr>
                <w:rFonts w:ascii="Times New Roman" w:hAnsi="Times New Roman" w:cs="Times New Roman"/>
                <w:color w:val="000000"/>
                <w:szCs w:val="21"/>
              </w:rPr>
              <w:t>criterions</w:t>
            </w:r>
            <w:proofErr w:type="gramEnd"/>
            <w:r>
              <w:rPr>
                <w:rFonts w:ascii="Times New Roman" w:hAnsi="Times New Roman" w:cs="Times New Roman"/>
                <w:color w:val="000000"/>
                <w:szCs w:val="21"/>
              </w:rPr>
              <w:t>, cross validation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9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Table 3</w:t>
            </w:r>
            <w:r>
              <w:rPr>
                <w:rFonts w:ascii="Times New Roman" w:hAnsi="Times New Roman" w:cs="Times New Roman"/>
                <w:color w:val="000000"/>
                <w:szCs w:val="21"/>
              </w:rPr>
              <w:t>)</w:t>
            </w:r>
          </w:p>
        </w:tc>
      </w:tr>
      <w:tr w:rsidR="00A72648" w14:paraId="1CF21FA3"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8</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Provide diagnostic plots to support the chosen model is appropriate and assumption are met (QQ plot and residual plots along with predicted values and important explanatory variables,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Fig. 4-6</w:t>
            </w:r>
            <w:r>
              <w:rPr>
                <w:rFonts w:ascii="Times New Roman" w:hAnsi="Times New Roman" w:cs="Times New Roman"/>
                <w:color w:val="000000"/>
                <w:szCs w:val="21"/>
              </w:rPr>
              <w:t>)</w:t>
            </w:r>
          </w:p>
        </w:tc>
      </w:tr>
      <w:tr w:rsidR="00A72648" w14:paraId="1CF21FA7"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9</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 xml:space="preserve">Extract yearly and, if needed, seasonally standardized CPUE and standard error by a method that </w:t>
            </w:r>
            <w:proofErr w:type="gramStart"/>
            <w:r>
              <w:rPr>
                <w:rFonts w:ascii="Times New Roman" w:hAnsi="Times New Roman" w:cs="Times New Roman"/>
                <w:color w:val="000000"/>
                <w:szCs w:val="21"/>
              </w:rPr>
              <w:t>is able to</w:t>
            </w:r>
            <w:proofErr w:type="gramEnd"/>
            <w:r>
              <w:rPr>
                <w:rFonts w:ascii="Times New Roman" w:hAnsi="Times New Roman" w:cs="Times New Roman"/>
                <w:color w:val="000000"/>
                <w:szCs w:val="21"/>
              </w:rPr>
              <w:t xml:space="preserve"> account for spatial heterogeneity of effort, such as least squares mean or expanded grid. Provide details on how the CPUE index was extracted.</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Section 2.4, Paragraph 1-2</w:t>
            </w:r>
            <w:r>
              <w:rPr>
                <w:rFonts w:ascii="Times New Roman" w:hAnsi="Times New Roman" w:cs="Times New Roman"/>
                <w:color w:val="000000"/>
                <w:szCs w:val="21"/>
              </w:rPr>
              <w:t>)</w:t>
            </w:r>
          </w:p>
        </w:tc>
      </w:tr>
      <w:tr w:rsidR="00A72648" w14:paraId="1CF21FAB"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lastRenderedPageBreak/>
              <w:t>10</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Calculate uncertainty (SD, CV, CI) for standardized CPUE for each year. Provide detailed explanation on how the uncertainty was calculated.</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Table 4</w:t>
            </w:r>
            <w:r>
              <w:rPr>
                <w:rFonts w:ascii="Times New Roman" w:hAnsi="Times New Roman" w:cs="Times New Roman"/>
                <w:color w:val="000000"/>
                <w:szCs w:val="21"/>
              </w:rPr>
              <w:t>)</w:t>
            </w:r>
          </w:p>
        </w:tc>
      </w:tr>
      <w:tr w:rsidR="00A72648" w14:paraId="1CF21FAF"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Provide a table and a plot of nominal and standardized CPUEs over time. When the trends between nominal and standardized CPUE are largely different, explain the reasons (e.g. spatial shift of fishing efforts), whenever possible.</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CF21FA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Yes (</w:t>
            </w:r>
            <w:r>
              <w:rPr>
                <w:rFonts w:ascii="Times New Roman" w:eastAsia="Segoe UI" w:hAnsi="Times New Roman" w:cs="Times New Roman"/>
                <w:color w:val="000000"/>
                <w:szCs w:val="21"/>
                <w:shd w:val="clear" w:color="auto" w:fill="FFFFFF"/>
              </w:rPr>
              <w:t>Fig. 7, Table 5</w:t>
            </w:r>
            <w:r>
              <w:rPr>
                <w:rFonts w:ascii="Times New Roman" w:hAnsi="Times New Roman" w:cs="Times New Roman"/>
                <w:color w:val="000000"/>
                <w:szCs w:val="21"/>
              </w:rPr>
              <w:t>)</w:t>
            </w:r>
          </w:p>
        </w:tc>
      </w:tr>
    </w:tbl>
    <w:p w14:paraId="1CF21FB0" w14:textId="77777777" w:rsidR="00A72648" w:rsidRDefault="00A72648"/>
    <w:p w14:paraId="1CF21FB1" w14:textId="77777777" w:rsidR="00A72648" w:rsidRDefault="00A72648"/>
    <w:p w14:paraId="1CF21FB2" w14:textId="77777777" w:rsidR="00A72648" w:rsidRDefault="00000000">
      <w:pPr>
        <w:rPr>
          <w:rFonts w:ascii="Times New Roman" w:hAnsi="Times New Roman" w:cs="Times New Roman"/>
        </w:rPr>
      </w:pPr>
      <w:r>
        <w:rPr>
          <w:rFonts w:ascii="Times New Roman" w:hAnsi="Times New Roman" w:cs="Times New Roman"/>
          <w:b/>
          <w:bCs/>
        </w:rPr>
        <w:t>Table 1.</w:t>
      </w:r>
      <w:r>
        <w:rPr>
          <w:rFonts w:ascii="Times New Roman" w:hAnsi="Times New Roman" w:cs="Times New Roman"/>
        </w:rPr>
        <w:t xml:space="preserve"> Variance Inflation Factor (VIF) and Spearman correlation coefficient among explanatory variables</w:t>
      </w:r>
    </w:p>
    <w:tbl>
      <w:tblPr>
        <w:tblW w:w="8337" w:type="dxa"/>
        <w:jc w:val="center"/>
        <w:tblLayout w:type="fixed"/>
        <w:tblLook w:val="04A0" w:firstRow="1" w:lastRow="0" w:firstColumn="1" w:lastColumn="0" w:noHBand="0" w:noVBand="1"/>
      </w:tblPr>
      <w:tblGrid>
        <w:gridCol w:w="924"/>
        <w:gridCol w:w="710"/>
        <w:gridCol w:w="860"/>
        <w:gridCol w:w="860"/>
        <w:gridCol w:w="870"/>
        <w:gridCol w:w="850"/>
        <w:gridCol w:w="840"/>
        <w:gridCol w:w="886"/>
        <w:gridCol w:w="814"/>
        <w:gridCol w:w="723"/>
      </w:tblGrid>
      <w:tr w:rsidR="00A72648" w14:paraId="1CF21FBD" w14:textId="77777777">
        <w:trPr>
          <w:trHeight w:val="90"/>
          <w:tblHeader/>
          <w:jc w:val="center"/>
        </w:trPr>
        <w:tc>
          <w:tcPr>
            <w:tcW w:w="924" w:type="dxa"/>
            <w:tcBorders>
              <w:top w:val="single" w:sz="12" w:space="0" w:color="000000"/>
              <w:left w:val="nil"/>
              <w:bottom w:val="single" w:sz="4" w:space="0" w:color="000000"/>
              <w:right w:val="nil"/>
              <w:tl2br w:val="nil"/>
            </w:tcBorders>
            <w:shd w:val="clear" w:color="auto" w:fill="FFFFFF"/>
            <w:tcMar>
              <w:top w:w="-1" w:type="dxa"/>
              <w:left w:w="-1" w:type="dxa"/>
              <w:bottom w:w="-1" w:type="dxa"/>
              <w:right w:w="-1" w:type="dxa"/>
            </w:tcMar>
            <w:vAlign w:val="center"/>
          </w:tcPr>
          <w:p w14:paraId="1CF21FB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Variable</w:t>
            </w:r>
          </w:p>
        </w:tc>
        <w:tc>
          <w:tcPr>
            <w:tcW w:w="710"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VIF</w:t>
            </w:r>
          </w:p>
        </w:tc>
        <w:tc>
          <w:tcPr>
            <w:tcW w:w="860"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Lon</w:t>
            </w:r>
          </w:p>
        </w:tc>
        <w:tc>
          <w:tcPr>
            <w:tcW w:w="860"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Lat</w:t>
            </w:r>
          </w:p>
        </w:tc>
        <w:tc>
          <w:tcPr>
            <w:tcW w:w="870"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SST</w:t>
            </w:r>
          </w:p>
        </w:tc>
        <w:tc>
          <w:tcPr>
            <w:tcW w:w="850"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SSS</w:t>
            </w:r>
          </w:p>
        </w:tc>
        <w:tc>
          <w:tcPr>
            <w:tcW w:w="840"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MLD</w:t>
            </w:r>
          </w:p>
        </w:tc>
        <w:tc>
          <w:tcPr>
            <w:tcW w:w="886"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SSH</w:t>
            </w:r>
          </w:p>
        </w:tc>
        <w:tc>
          <w:tcPr>
            <w:tcW w:w="814"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Year</w:t>
            </w:r>
          </w:p>
        </w:tc>
        <w:tc>
          <w:tcPr>
            <w:tcW w:w="723"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1FB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Month</w:t>
            </w:r>
          </w:p>
        </w:tc>
      </w:tr>
      <w:tr w:rsidR="00A72648" w14:paraId="1CF21FC8" w14:textId="77777777">
        <w:trPr>
          <w:trHeight w:val="732"/>
          <w:jc w:val="center"/>
        </w:trPr>
        <w:tc>
          <w:tcPr>
            <w:tcW w:w="924"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B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Lon</w:t>
            </w:r>
          </w:p>
        </w:tc>
        <w:tc>
          <w:tcPr>
            <w:tcW w:w="710"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B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2.59</w:t>
            </w:r>
          </w:p>
        </w:tc>
        <w:tc>
          <w:tcPr>
            <w:tcW w:w="860"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0" w14:textId="77777777" w:rsidR="00A72648" w:rsidRDefault="00A72648">
            <w:pPr>
              <w:jc w:val="center"/>
              <w:rPr>
                <w:rFonts w:ascii="Times New Roman" w:hAnsi="Times New Roman" w:cs="Times New Roman"/>
                <w:color w:val="000000"/>
                <w:szCs w:val="21"/>
              </w:rPr>
            </w:pPr>
          </w:p>
        </w:tc>
        <w:tc>
          <w:tcPr>
            <w:tcW w:w="860"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-0.097</w:t>
            </w:r>
          </w:p>
        </w:tc>
        <w:tc>
          <w:tcPr>
            <w:tcW w:w="870"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-0.298</w:t>
            </w:r>
          </w:p>
        </w:tc>
        <w:tc>
          <w:tcPr>
            <w:tcW w:w="850"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0.274</w:t>
            </w:r>
          </w:p>
        </w:tc>
        <w:tc>
          <w:tcPr>
            <w:tcW w:w="840"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-0.212</w:t>
            </w:r>
          </w:p>
        </w:tc>
        <w:tc>
          <w:tcPr>
            <w:tcW w:w="886"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0.383</w:t>
            </w:r>
          </w:p>
        </w:tc>
        <w:tc>
          <w:tcPr>
            <w:tcW w:w="814"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0.387</w:t>
            </w:r>
          </w:p>
        </w:tc>
        <w:tc>
          <w:tcPr>
            <w:tcW w:w="723"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1FC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-0.577</w:t>
            </w:r>
          </w:p>
        </w:tc>
      </w:tr>
      <w:tr w:rsidR="00A72648" w14:paraId="1CF21FD3" w14:textId="77777777">
        <w:trPr>
          <w:trHeight w:val="712"/>
          <w:jc w:val="center"/>
        </w:trPr>
        <w:tc>
          <w:tcPr>
            <w:tcW w:w="924" w:type="dxa"/>
            <w:tcBorders>
              <w:top w:val="nil"/>
              <w:left w:val="nil"/>
              <w:bottom w:val="nil"/>
              <w:right w:val="nil"/>
            </w:tcBorders>
            <w:shd w:val="clear" w:color="auto" w:fill="FFFFFF"/>
            <w:tcMar>
              <w:top w:w="-1" w:type="dxa"/>
              <w:left w:w="-1" w:type="dxa"/>
              <w:bottom w:w="-1" w:type="dxa"/>
              <w:right w:w="-1" w:type="dxa"/>
            </w:tcMar>
            <w:vAlign w:val="center"/>
          </w:tcPr>
          <w:p w14:paraId="1CF21FC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Lat</w:t>
            </w:r>
          </w:p>
        </w:tc>
        <w:tc>
          <w:tcPr>
            <w:tcW w:w="710" w:type="dxa"/>
            <w:tcBorders>
              <w:top w:val="nil"/>
              <w:left w:val="nil"/>
              <w:bottom w:val="nil"/>
              <w:right w:val="nil"/>
            </w:tcBorders>
            <w:shd w:val="clear" w:color="auto" w:fill="FFFFFF"/>
            <w:tcMar>
              <w:top w:w="-1" w:type="dxa"/>
              <w:left w:w="-1" w:type="dxa"/>
              <w:bottom w:w="-1" w:type="dxa"/>
              <w:right w:w="-1" w:type="dxa"/>
            </w:tcMar>
            <w:vAlign w:val="center"/>
          </w:tcPr>
          <w:p w14:paraId="1CF21FC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3.18</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C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CC" w14:textId="77777777" w:rsidR="00A72648" w:rsidRDefault="00A72648">
            <w:pPr>
              <w:jc w:val="center"/>
              <w:rPr>
                <w:rFonts w:ascii="Times New Roman" w:hAnsi="Times New Roman" w:cs="Times New Roman"/>
                <w:color w:val="000000"/>
                <w:szCs w:val="21"/>
              </w:rPr>
            </w:pPr>
          </w:p>
        </w:tc>
        <w:tc>
          <w:tcPr>
            <w:tcW w:w="870" w:type="dxa"/>
            <w:tcBorders>
              <w:top w:val="nil"/>
              <w:left w:val="nil"/>
              <w:bottom w:val="nil"/>
              <w:right w:val="nil"/>
            </w:tcBorders>
            <w:shd w:val="clear" w:color="auto" w:fill="FFFFFF"/>
            <w:tcMar>
              <w:top w:w="-1" w:type="dxa"/>
              <w:left w:w="-1" w:type="dxa"/>
              <w:bottom w:w="-1" w:type="dxa"/>
              <w:right w:w="-1" w:type="dxa"/>
            </w:tcMar>
            <w:vAlign w:val="center"/>
          </w:tcPr>
          <w:p w14:paraId="1CF21FC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-0.457</w:t>
            </w:r>
          </w:p>
        </w:tc>
        <w:tc>
          <w:tcPr>
            <w:tcW w:w="850" w:type="dxa"/>
            <w:tcBorders>
              <w:top w:val="nil"/>
              <w:left w:val="nil"/>
              <w:bottom w:val="nil"/>
              <w:right w:val="nil"/>
            </w:tcBorders>
            <w:shd w:val="clear" w:color="auto" w:fill="FFFFFF"/>
            <w:tcMar>
              <w:top w:w="-1" w:type="dxa"/>
              <w:left w:w="-1" w:type="dxa"/>
              <w:bottom w:w="-1" w:type="dxa"/>
              <w:right w:w="-1" w:type="dxa"/>
            </w:tcMar>
            <w:vAlign w:val="center"/>
          </w:tcPr>
          <w:p w14:paraId="1CF21FC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-0.79</w:t>
            </w:r>
          </w:p>
        </w:tc>
        <w:tc>
          <w:tcPr>
            <w:tcW w:w="840" w:type="dxa"/>
            <w:tcBorders>
              <w:top w:val="nil"/>
              <w:left w:val="nil"/>
              <w:bottom w:val="nil"/>
              <w:right w:val="nil"/>
            </w:tcBorders>
            <w:shd w:val="clear" w:color="auto" w:fill="FFFFFF"/>
            <w:tcMar>
              <w:top w:w="-1" w:type="dxa"/>
              <w:left w:w="-1" w:type="dxa"/>
              <w:bottom w:w="-1" w:type="dxa"/>
              <w:right w:w="-1" w:type="dxa"/>
            </w:tcMar>
            <w:vAlign w:val="center"/>
          </w:tcPr>
          <w:p w14:paraId="1CF21FC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-0.078</w:t>
            </w:r>
          </w:p>
        </w:tc>
        <w:tc>
          <w:tcPr>
            <w:tcW w:w="886" w:type="dxa"/>
            <w:tcBorders>
              <w:top w:val="nil"/>
              <w:left w:val="nil"/>
              <w:bottom w:val="nil"/>
              <w:right w:val="nil"/>
            </w:tcBorders>
            <w:shd w:val="clear" w:color="auto" w:fill="FFFFFF"/>
            <w:tcMar>
              <w:top w:w="-1" w:type="dxa"/>
              <w:left w:w="-1" w:type="dxa"/>
              <w:bottom w:w="-1" w:type="dxa"/>
              <w:right w:w="-1" w:type="dxa"/>
            </w:tcMar>
            <w:vAlign w:val="center"/>
          </w:tcPr>
          <w:p w14:paraId="1CF21FD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-0.733</w:t>
            </w:r>
          </w:p>
        </w:tc>
        <w:tc>
          <w:tcPr>
            <w:tcW w:w="814" w:type="dxa"/>
            <w:tcBorders>
              <w:top w:val="nil"/>
              <w:left w:val="nil"/>
              <w:bottom w:val="nil"/>
              <w:right w:val="nil"/>
            </w:tcBorders>
            <w:shd w:val="clear" w:color="auto" w:fill="FFFFFF"/>
            <w:tcMar>
              <w:top w:w="-1" w:type="dxa"/>
              <w:left w:w="-1" w:type="dxa"/>
              <w:bottom w:w="-1" w:type="dxa"/>
              <w:right w:w="-1" w:type="dxa"/>
            </w:tcMar>
            <w:vAlign w:val="center"/>
          </w:tcPr>
          <w:p w14:paraId="1CF21FD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0.168</w:t>
            </w:r>
          </w:p>
        </w:tc>
        <w:tc>
          <w:tcPr>
            <w:tcW w:w="723" w:type="dxa"/>
            <w:tcBorders>
              <w:top w:val="nil"/>
              <w:left w:val="nil"/>
              <w:bottom w:val="nil"/>
              <w:right w:val="nil"/>
            </w:tcBorders>
            <w:shd w:val="clear" w:color="auto" w:fill="FFFFFF"/>
            <w:tcMar>
              <w:top w:w="-1" w:type="dxa"/>
              <w:left w:w="-1" w:type="dxa"/>
              <w:bottom w:w="-1" w:type="dxa"/>
              <w:right w:w="-1" w:type="dxa"/>
            </w:tcMar>
            <w:vAlign w:val="center"/>
          </w:tcPr>
          <w:p w14:paraId="1CF21FD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0.292</w:t>
            </w:r>
          </w:p>
        </w:tc>
      </w:tr>
      <w:tr w:rsidR="00A72648" w14:paraId="1CF21FDE" w14:textId="77777777">
        <w:trPr>
          <w:trHeight w:val="682"/>
          <w:jc w:val="center"/>
        </w:trPr>
        <w:tc>
          <w:tcPr>
            <w:tcW w:w="924" w:type="dxa"/>
            <w:tcBorders>
              <w:top w:val="nil"/>
              <w:left w:val="nil"/>
              <w:bottom w:val="nil"/>
              <w:right w:val="nil"/>
            </w:tcBorders>
            <w:shd w:val="clear" w:color="auto" w:fill="FFFFFF"/>
            <w:tcMar>
              <w:top w:w="-1" w:type="dxa"/>
              <w:left w:w="-1" w:type="dxa"/>
              <w:bottom w:w="-1" w:type="dxa"/>
              <w:right w:w="-1" w:type="dxa"/>
            </w:tcMar>
            <w:vAlign w:val="center"/>
          </w:tcPr>
          <w:p w14:paraId="1CF21FD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SST</w:t>
            </w:r>
          </w:p>
        </w:tc>
        <w:tc>
          <w:tcPr>
            <w:tcW w:w="710" w:type="dxa"/>
            <w:tcBorders>
              <w:top w:val="nil"/>
              <w:left w:val="nil"/>
              <w:bottom w:val="nil"/>
              <w:right w:val="nil"/>
            </w:tcBorders>
            <w:shd w:val="clear" w:color="auto" w:fill="FFFFFF"/>
            <w:tcMar>
              <w:top w:w="-1" w:type="dxa"/>
              <w:left w:w="-1" w:type="dxa"/>
              <w:bottom w:w="-1" w:type="dxa"/>
              <w:right w:w="-1" w:type="dxa"/>
            </w:tcMar>
            <w:vAlign w:val="center"/>
          </w:tcPr>
          <w:p w14:paraId="1CF21FD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2.48</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D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D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70" w:type="dxa"/>
            <w:tcBorders>
              <w:top w:val="nil"/>
              <w:left w:val="nil"/>
              <w:bottom w:val="nil"/>
              <w:right w:val="nil"/>
            </w:tcBorders>
            <w:shd w:val="clear" w:color="auto" w:fill="FFFFFF"/>
            <w:tcMar>
              <w:top w:w="-1" w:type="dxa"/>
              <w:left w:w="-1" w:type="dxa"/>
              <w:bottom w:w="-1" w:type="dxa"/>
              <w:right w:w="-1" w:type="dxa"/>
            </w:tcMar>
            <w:vAlign w:val="center"/>
          </w:tcPr>
          <w:p w14:paraId="1CF21FD8" w14:textId="77777777" w:rsidR="00A72648" w:rsidRDefault="00A72648">
            <w:pPr>
              <w:jc w:val="center"/>
              <w:rPr>
                <w:rFonts w:ascii="Times New Roman" w:hAnsi="Times New Roman" w:cs="Times New Roman"/>
                <w:color w:val="000000"/>
                <w:szCs w:val="21"/>
              </w:rPr>
            </w:pPr>
          </w:p>
        </w:tc>
        <w:tc>
          <w:tcPr>
            <w:tcW w:w="850" w:type="dxa"/>
            <w:tcBorders>
              <w:top w:val="nil"/>
              <w:left w:val="nil"/>
              <w:bottom w:val="nil"/>
              <w:right w:val="nil"/>
            </w:tcBorders>
            <w:shd w:val="clear" w:color="auto" w:fill="FFFFFF"/>
            <w:tcMar>
              <w:top w:w="-1" w:type="dxa"/>
              <w:left w:w="-1" w:type="dxa"/>
              <w:bottom w:w="-1" w:type="dxa"/>
              <w:right w:w="-1" w:type="dxa"/>
            </w:tcMar>
            <w:vAlign w:val="center"/>
          </w:tcPr>
          <w:p w14:paraId="1CF21FD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0.398</w:t>
            </w:r>
          </w:p>
        </w:tc>
        <w:tc>
          <w:tcPr>
            <w:tcW w:w="840" w:type="dxa"/>
            <w:tcBorders>
              <w:top w:val="nil"/>
              <w:left w:val="nil"/>
              <w:bottom w:val="nil"/>
              <w:right w:val="nil"/>
            </w:tcBorders>
            <w:shd w:val="clear" w:color="auto" w:fill="FFFFFF"/>
            <w:tcMar>
              <w:top w:w="-1" w:type="dxa"/>
              <w:left w:w="-1" w:type="dxa"/>
              <w:bottom w:w="-1" w:type="dxa"/>
              <w:right w:w="-1" w:type="dxa"/>
            </w:tcMar>
            <w:vAlign w:val="center"/>
          </w:tcPr>
          <w:p w14:paraId="1CF21FD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-0.158</w:t>
            </w:r>
          </w:p>
        </w:tc>
        <w:tc>
          <w:tcPr>
            <w:tcW w:w="886" w:type="dxa"/>
            <w:tcBorders>
              <w:top w:val="nil"/>
              <w:left w:val="nil"/>
              <w:bottom w:val="nil"/>
              <w:right w:val="nil"/>
            </w:tcBorders>
            <w:shd w:val="clear" w:color="auto" w:fill="FFFFFF"/>
            <w:tcMar>
              <w:top w:w="-1" w:type="dxa"/>
              <w:left w:w="-1" w:type="dxa"/>
              <w:bottom w:w="-1" w:type="dxa"/>
              <w:right w:w="-1" w:type="dxa"/>
            </w:tcMar>
            <w:vAlign w:val="center"/>
          </w:tcPr>
          <w:p w14:paraId="1CF21FD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0.434</w:t>
            </w:r>
          </w:p>
        </w:tc>
        <w:tc>
          <w:tcPr>
            <w:tcW w:w="814" w:type="dxa"/>
            <w:tcBorders>
              <w:top w:val="nil"/>
              <w:left w:val="nil"/>
              <w:bottom w:val="nil"/>
              <w:right w:val="nil"/>
            </w:tcBorders>
            <w:shd w:val="clear" w:color="auto" w:fill="FFFFFF"/>
            <w:tcMar>
              <w:top w:w="-1" w:type="dxa"/>
              <w:left w:w="-1" w:type="dxa"/>
              <w:bottom w:w="-1" w:type="dxa"/>
              <w:right w:w="-1" w:type="dxa"/>
            </w:tcMar>
            <w:vAlign w:val="center"/>
          </w:tcPr>
          <w:p w14:paraId="1CF21FD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-0.111</w:t>
            </w:r>
          </w:p>
        </w:tc>
        <w:tc>
          <w:tcPr>
            <w:tcW w:w="723" w:type="dxa"/>
            <w:tcBorders>
              <w:top w:val="nil"/>
              <w:left w:val="nil"/>
              <w:bottom w:val="nil"/>
              <w:right w:val="nil"/>
            </w:tcBorders>
            <w:shd w:val="clear" w:color="auto" w:fill="FFFFFF"/>
            <w:tcMar>
              <w:top w:w="-1" w:type="dxa"/>
              <w:left w:w="-1" w:type="dxa"/>
              <w:bottom w:w="-1" w:type="dxa"/>
              <w:right w:w="-1" w:type="dxa"/>
            </w:tcMar>
            <w:vAlign w:val="center"/>
          </w:tcPr>
          <w:p w14:paraId="1CF21FD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0.131</w:t>
            </w:r>
          </w:p>
        </w:tc>
      </w:tr>
      <w:tr w:rsidR="00A72648" w14:paraId="1CF21FE9" w14:textId="77777777">
        <w:trPr>
          <w:trHeight w:val="692"/>
          <w:jc w:val="center"/>
        </w:trPr>
        <w:tc>
          <w:tcPr>
            <w:tcW w:w="924" w:type="dxa"/>
            <w:tcBorders>
              <w:top w:val="nil"/>
              <w:left w:val="nil"/>
              <w:bottom w:val="nil"/>
              <w:right w:val="nil"/>
            </w:tcBorders>
            <w:shd w:val="clear" w:color="auto" w:fill="FFFFFF"/>
            <w:tcMar>
              <w:top w:w="-1" w:type="dxa"/>
              <w:left w:w="-1" w:type="dxa"/>
              <w:bottom w:w="-1" w:type="dxa"/>
              <w:right w:w="-1" w:type="dxa"/>
            </w:tcMar>
            <w:vAlign w:val="center"/>
          </w:tcPr>
          <w:p w14:paraId="1CF21FD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SSS</w:t>
            </w:r>
          </w:p>
        </w:tc>
        <w:tc>
          <w:tcPr>
            <w:tcW w:w="710" w:type="dxa"/>
            <w:tcBorders>
              <w:top w:val="nil"/>
              <w:left w:val="nil"/>
              <w:bottom w:val="nil"/>
              <w:right w:val="nil"/>
            </w:tcBorders>
            <w:shd w:val="clear" w:color="auto" w:fill="FFFFFF"/>
            <w:tcMar>
              <w:top w:w="-1" w:type="dxa"/>
              <w:left w:w="-1" w:type="dxa"/>
              <w:bottom w:w="-1" w:type="dxa"/>
              <w:right w:w="-1" w:type="dxa"/>
            </w:tcMar>
            <w:vAlign w:val="center"/>
          </w:tcPr>
          <w:p w14:paraId="1CF21FE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3.96</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E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E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70" w:type="dxa"/>
            <w:tcBorders>
              <w:top w:val="nil"/>
              <w:left w:val="nil"/>
              <w:bottom w:val="nil"/>
              <w:right w:val="nil"/>
            </w:tcBorders>
            <w:shd w:val="clear" w:color="auto" w:fill="FFFFFF"/>
            <w:tcMar>
              <w:top w:w="-1" w:type="dxa"/>
              <w:left w:w="-1" w:type="dxa"/>
              <w:bottom w:w="-1" w:type="dxa"/>
              <w:right w:w="-1" w:type="dxa"/>
            </w:tcMar>
            <w:vAlign w:val="center"/>
          </w:tcPr>
          <w:p w14:paraId="1CF21FE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50" w:type="dxa"/>
            <w:tcBorders>
              <w:top w:val="nil"/>
              <w:left w:val="nil"/>
              <w:bottom w:val="nil"/>
              <w:right w:val="nil"/>
            </w:tcBorders>
            <w:shd w:val="clear" w:color="auto" w:fill="FFFFFF"/>
            <w:tcMar>
              <w:top w:w="-1" w:type="dxa"/>
              <w:left w:w="-1" w:type="dxa"/>
              <w:bottom w:w="-1" w:type="dxa"/>
              <w:right w:w="-1" w:type="dxa"/>
            </w:tcMar>
            <w:vAlign w:val="center"/>
          </w:tcPr>
          <w:p w14:paraId="1CF21FE4" w14:textId="77777777" w:rsidR="00A72648" w:rsidRDefault="00A72648">
            <w:pPr>
              <w:jc w:val="center"/>
              <w:rPr>
                <w:rFonts w:ascii="Times New Roman" w:hAnsi="Times New Roman" w:cs="Times New Roman"/>
                <w:color w:val="000000"/>
                <w:szCs w:val="21"/>
              </w:rPr>
            </w:pPr>
          </w:p>
        </w:tc>
        <w:tc>
          <w:tcPr>
            <w:tcW w:w="840" w:type="dxa"/>
            <w:tcBorders>
              <w:top w:val="nil"/>
              <w:left w:val="nil"/>
              <w:bottom w:val="nil"/>
              <w:right w:val="nil"/>
            </w:tcBorders>
            <w:shd w:val="clear" w:color="auto" w:fill="FFFFFF"/>
            <w:tcMar>
              <w:top w:w="-1" w:type="dxa"/>
              <w:left w:w="-1" w:type="dxa"/>
              <w:bottom w:w="-1" w:type="dxa"/>
              <w:right w:w="-1" w:type="dxa"/>
            </w:tcMar>
            <w:vAlign w:val="center"/>
          </w:tcPr>
          <w:p w14:paraId="1CF21FE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0.105</w:t>
            </w:r>
          </w:p>
        </w:tc>
        <w:tc>
          <w:tcPr>
            <w:tcW w:w="886" w:type="dxa"/>
            <w:tcBorders>
              <w:top w:val="nil"/>
              <w:left w:val="nil"/>
              <w:bottom w:val="nil"/>
              <w:right w:val="nil"/>
            </w:tcBorders>
            <w:shd w:val="clear" w:color="auto" w:fill="FFFFFF"/>
            <w:tcMar>
              <w:top w:w="-1" w:type="dxa"/>
              <w:left w:w="-1" w:type="dxa"/>
              <w:bottom w:w="-1" w:type="dxa"/>
              <w:right w:w="-1" w:type="dxa"/>
            </w:tcMar>
            <w:vAlign w:val="center"/>
          </w:tcPr>
          <w:p w14:paraId="1CF21FE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0.816</w:t>
            </w:r>
          </w:p>
        </w:tc>
        <w:tc>
          <w:tcPr>
            <w:tcW w:w="814" w:type="dxa"/>
            <w:tcBorders>
              <w:top w:val="nil"/>
              <w:left w:val="nil"/>
              <w:bottom w:val="nil"/>
              <w:right w:val="nil"/>
            </w:tcBorders>
            <w:shd w:val="clear" w:color="auto" w:fill="FFFFFF"/>
            <w:tcMar>
              <w:top w:w="-1" w:type="dxa"/>
              <w:left w:w="-1" w:type="dxa"/>
              <w:bottom w:w="-1" w:type="dxa"/>
              <w:right w:w="-1" w:type="dxa"/>
            </w:tcMar>
            <w:vAlign w:val="center"/>
          </w:tcPr>
          <w:p w14:paraId="1CF21FE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0.069</w:t>
            </w:r>
          </w:p>
        </w:tc>
        <w:tc>
          <w:tcPr>
            <w:tcW w:w="723" w:type="dxa"/>
            <w:tcBorders>
              <w:top w:val="nil"/>
              <w:left w:val="nil"/>
              <w:bottom w:val="nil"/>
              <w:right w:val="nil"/>
            </w:tcBorders>
            <w:shd w:val="clear" w:color="auto" w:fill="FFFFFF"/>
            <w:tcMar>
              <w:top w:w="-1" w:type="dxa"/>
              <w:left w:w="-1" w:type="dxa"/>
              <w:bottom w:w="-1" w:type="dxa"/>
              <w:right w:w="-1" w:type="dxa"/>
            </w:tcMar>
            <w:vAlign w:val="center"/>
          </w:tcPr>
          <w:p w14:paraId="1CF21FE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-0.394</w:t>
            </w:r>
          </w:p>
        </w:tc>
      </w:tr>
      <w:tr w:rsidR="00A72648" w14:paraId="1CF21FF4" w14:textId="77777777">
        <w:trPr>
          <w:trHeight w:val="742"/>
          <w:jc w:val="center"/>
        </w:trPr>
        <w:tc>
          <w:tcPr>
            <w:tcW w:w="924" w:type="dxa"/>
            <w:tcBorders>
              <w:top w:val="nil"/>
              <w:left w:val="nil"/>
              <w:bottom w:val="nil"/>
              <w:right w:val="nil"/>
            </w:tcBorders>
            <w:shd w:val="clear" w:color="auto" w:fill="FFFFFF"/>
            <w:tcMar>
              <w:top w:w="-1" w:type="dxa"/>
              <w:left w:w="-1" w:type="dxa"/>
              <w:bottom w:w="-1" w:type="dxa"/>
              <w:right w:w="-1" w:type="dxa"/>
            </w:tcMar>
            <w:vAlign w:val="center"/>
          </w:tcPr>
          <w:p w14:paraId="1CF21FE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MLD</w:t>
            </w:r>
          </w:p>
        </w:tc>
        <w:tc>
          <w:tcPr>
            <w:tcW w:w="710" w:type="dxa"/>
            <w:tcBorders>
              <w:top w:val="nil"/>
              <w:left w:val="nil"/>
              <w:bottom w:val="nil"/>
              <w:right w:val="nil"/>
            </w:tcBorders>
            <w:shd w:val="clear" w:color="auto" w:fill="FFFFFF"/>
            <w:tcMar>
              <w:top w:w="-1" w:type="dxa"/>
              <w:left w:w="-1" w:type="dxa"/>
              <w:bottom w:w="-1" w:type="dxa"/>
              <w:right w:w="-1" w:type="dxa"/>
            </w:tcMar>
            <w:vAlign w:val="center"/>
          </w:tcPr>
          <w:p w14:paraId="1CF21FE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1.58</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E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E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70" w:type="dxa"/>
            <w:tcBorders>
              <w:top w:val="nil"/>
              <w:left w:val="nil"/>
              <w:bottom w:val="nil"/>
              <w:right w:val="nil"/>
            </w:tcBorders>
            <w:shd w:val="clear" w:color="auto" w:fill="FFFFFF"/>
            <w:tcMar>
              <w:top w:w="-1" w:type="dxa"/>
              <w:left w:w="-1" w:type="dxa"/>
              <w:bottom w:w="-1" w:type="dxa"/>
              <w:right w:w="-1" w:type="dxa"/>
            </w:tcMar>
            <w:vAlign w:val="center"/>
          </w:tcPr>
          <w:p w14:paraId="1CF21FE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50" w:type="dxa"/>
            <w:tcBorders>
              <w:top w:val="nil"/>
              <w:left w:val="nil"/>
              <w:bottom w:val="nil"/>
              <w:right w:val="nil"/>
            </w:tcBorders>
            <w:shd w:val="clear" w:color="auto" w:fill="FFFFFF"/>
            <w:tcMar>
              <w:top w:w="-1" w:type="dxa"/>
              <w:left w:w="-1" w:type="dxa"/>
              <w:bottom w:w="-1" w:type="dxa"/>
              <w:right w:w="-1" w:type="dxa"/>
            </w:tcMar>
            <w:vAlign w:val="center"/>
          </w:tcPr>
          <w:p w14:paraId="1CF21FE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40" w:type="dxa"/>
            <w:tcBorders>
              <w:top w:val="nil"/>
              <w:left w:val="nil"/>
              <w:bottom w:val="nil"/>
              <w:right w:val="nil"/>
            </w:tcBorders>
            <w:shd w:val="clear" w:color="auto" w:fill="FFFFFF"/>
            <w:tcMar>
              <w:top w:w="-1" w:type="dxa"/>
              <w:left w:w="-1" w:type="dxa"/>
              <w:bottom w:w="-1" w:type="dxa"/>
              <w:right w:w="-1" w:type="dxa"/>
            </w:tcMar>
            <w:vAlign w:val="center"/>
          </w:tcPr>
          <w:p w14:paraId="1CF21FF0" w14:textId="77777777" w:rsidR="00A72648" w:rsidRDefault="00A72648">
            <w:pPr>
              <w:jc w:val="center"/>
              <w:rPr>
                <w:rFonts w:ascii="Times New Roman" w:hAnsi="Times New Roman" w:cs="Times New Roman"/>
                <w:color w:val="000000"/>
                <w:szCs w:val="21"/>
              </w:rPr>
            </w:pPr>
          </w:p>
        </w:tc>
        <w:tc>
          <w:tcPr>
            <w:tcW w:w="886" w:type="dxa"/>
            <w:tcBorders>
              <w:top w:val="nil"/>
              <w:left w:val="nil"/>
              <w:bottom w:val="nil"/>
              <w:right w:val="nil"/>
            </w:tcBorders>
            <w:shd w:val="clear" w:color="auto" w:fill="FFFFFF"/>
            <w:tcMar>
              <w:top w:w="-1" w:type="dxa"/>
              <w:left w:w="-1" w:type="dxa"/>
              <w:bottom w:w="-1" w:type="dxa"/>
              <w:right w:w="-1" w:type="dxa"/>
            </w:tcMar>
            <w:vAlign w:val="center"/>
          </w:tcPr>
          <w:p w14:paraId="1CF21FF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0.153</w:t>
            </w:r>
          </w:p>
        </w:tc>
        <w:tc>
          <w:tcPr>
            <w:tcW w:w="814" w:type="dxa"/>
            <w:tcBorders>
              <w:top w:val="nil"/>
              <w:left w:val="nil"/>
              <w:bottom w:val="nil"/>
              <w:right w:val="nil"/>
            </w:tcBorders>
            <w:shd w:val="clear" w:color="auto" w:fill="FFFFFF"/>
            <w:tcMar>
              <w:top w:w="-1" w:type="dxa"/>
              <w:left w:w="-1" w:type="dxa"/>
              <w:bottom w:w="-1" w:type="dxa"/>
              <w:right w:w="-1" w:type="dxa"/>
            </w:tcMar>
            <w:vAlign w:val="center"/>
          </w:tcPr>
          <w:p w14:paraId="1CF21FF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0.032</w:t>
            </w:r>
          </w:p>
        </w:tc>
        <w:tc>
          <w:tcPr>
            <w:tcW w:w="723" w:type="dxa"/>
            <w:tcBorders>
              <w:top w:val="nil"/>
              <w:left w:val="nil"/>
              <w:bottom w:val="nil"/>
              <w:right w:val="nil"/>
            </w:tcBorders>
            <w:shd w:val="clear" w:color="auto" w:fill="FFFFFF"/>
            <w:tcMar>
              <w:top w:w="-1" w:type="dxa"/>
              <w:left w:w="-1" w:type="dxa"/>
              <w:bottom w:w="-1" w:type="dxa"/>
              <w:right w:w="-1" w:type="dxa"/>
            </w:tcMar>
            <w:vAlign w:val="center"/>
          </w:tcPr>
          <w:p w14:paraId="1CF21FF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0.632</w:t>
            </w:r>
          </w:p>
        </w:tc>
      </w:tr>
      <w:tr w:rsidR="00A72648" w14:paraId="1CF21FFF" w14:textId="77777777">
        <w:trPr>
          <w:trHeight w:val="672"/>
          <w:jc w:val="center"/>
        </w:trPr>
        <w:tc>
          <w:tcPr>
            <w:tcW w:w="924" w:type="dxa"/>
            <w:tcBorders>
              <w:top w:val="nil"/>
              <w:left w:val="nil"/>
              <w:bottom w:val="nil"/>
              <w:right w:val="nil"/>
            </w:tcBorders>
            <w:shd w:val="clear" w:color="auto" w:fill="FFFFFF"/>
            <w:tcMar>
              <w:top w:w="-1" w:type="dxa"/>
              <w:left w:w="-1" w:type="dxa"/>
              <w:bottom w:w="-1" w:type="dxa"/>
              <w:right w:w="-1" w:type="dxa"/>
            </w:tcMar>
            <w:vAlign w:val="center"/>
          </w:tcPr>
          <w:p w14:paraId="1CF21FF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SSH</w:t>
            </w:r>
          </w:p>
        </w:tc>
        <w:tc>
          <w:tcPr>
            <w:tcW w:w="710" w:type="dxa"/>
            <w:tcBorders>
              <w:top w:val="nil"/>
              <w:left w:val="nil"/>
              <w:bottom w:val="nil"/>
              <w:right w:val="nil"/>
            </w:tcBorders>
            <w:shd w:val="clear" w:color="auto" w:fill="FFFFFF"/>
            <w:tcMar>
              <w:top w:w="-1" w:type="dxa"/>
              <w:left w:w="-1" w:type="dxa"/>
              <w:bottom w:w="-1" w:type="dxa"/>
              <w:right w:w="-1" w:type="dxa"/>
            </w:tcMar>
            <w:vAlign w:val="center"/>
          </w:tcPr>
          <w:p w14:paraId="1CF21FF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5.22</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F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1FF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70" w:type="dxa"/>
            <w:tcBorders>
              <w:top w:val="nil"/>
              <w:left w:val="nil"/>
              <w:bottom w:val="nil"/>
              <w:right w:val="nil"/>
            </w:tcBorders>
            <w:shd w:val="clear" w:color="auto" w:fill="FFFFFF"/>
            <w:tcMar>
              <w:top w:w="-1" w:type="dxa"/>
              <w:left w:w="-1" w:type="dxa"/>
              <w:bottom w:w="-1" w:type="dxa"/>
              <w:right w:w="-1" w:type="dxa"/>
            </w:tcMar>
            <w:vAlign w:val="center"/>
          </w:tcPr>
          <w:p w14:paraId="1CF21FF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50" w:type="dxa"/>
            <w:tcBorders>
              <w:top w:val="nil"/>
              <w:left w:val="nil"/>
              <w:bottom w:val="nil"/>
              <w:right w:val="nil"/>
            </w:tcBorders>
            <w:shd w:val="clear" w:color="auto" w:fill="FFFFFF"/>
            <w:tcMar>
              <w:top w:w="-1" w:type="dxa"/>
              <w:left w:w="-1" w:type="dxa"/>
              <w:bottom w:w="-1" w:type="dxa"/>
              <w:right w:w="-1" w:type="dxa"/>
            </w:tcMar>
            <w:vAlign w:val="center"/>
          </w:tcPr>
          <w:p w14:paraId="1CF21FF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40" w:type="dxa"/>
            <w:tcBorders>
              <w:top w:val="nil"/>
              <w:left w:val="nil"/>
              <w:bottom w:val="nil"/>
              <w:right w:val="nil"/>
            </w:tcBorders>
            <w:shd w:val="clear" w:color="auto" w:fill="FFFFFF"/>
            <w:tcMar>
              <w:top w:w="-1" w:type="dxa"/>
              <w:left w:w="-1" w:type="dxa"/>
              <w:bottom w:w="-1" w:type="dxa"/>
              <w:right w:w="-1" w:type="dxa"/>
            </w:tcMar>
            <w:vAlign w:val="center"/>
          </w:tcPr>
          <w:p w14:paraId="1CF21FF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86" w:type="dxa"/>
            <w:tcBorders>
              <w:top w:val="nil"/>
              <w:left w:val="nil"/>
              <w:bottom w:val="nil"/>
              <w:right w:val="nil"/>
            </w:tcBorders>
            <w:shd w:val="clear" w:color="auto" w:fill="FFFFFF"/>
            <w:tcMar>
              <w:top w:w="-1" w:type="dxa"/>
              <w:left w:w="-1" w:type="dxa"/>
              <w:bottom w:w="-1" w:type="dxa"/>
              <w:right w:w="-1" w:type="dxa"/>
            </w:tcMar>
            <w:vAlign w:val="center"/>
          </w:tcPr>
          <w:p w14:paraId="1CF21FFC" w14:textId="77777777" w:rsidR="00A72648" w:rsidRDefault="00A72648">
            <w:pPr>
              <w:jc w:val="center"/>
              <w:rPr>
                <w:rFonts w:ascii="Times New Roman" w:hAnsi="Times New Roman" w:cs="Times New Roman"/>
                <w:color w:val="000000"/>
                <w:szCs w:val="21"/>
              </w:rPr>
            </w:pPr>
          </w:p>
        </w:tc>
        <w:tc>
          <w:tcPr>
            <w:tcW w:w="814" w:type="dxa"/>
            <w:tcBorders>
              <w:top w:val="nil"/>
              <w:left w:val="nil"/>
              <w:bottom w:val="nil"/>
              <w:right w:val="nil"/>
            </w:tcBorders>
            <w:shd w:val="clear" w:color="auto" w:fill="FFFFFF"/>
            <w:tcMar>
              <w:top w:w="-1" w:type="dxa"/>
              <w:left w:w="-1" w:type="dxa"/>
              <w:bottom w:w="-1" w:type="dxa"/>
              <w:right w:w="-1" w:type="dxa"/>
            </w:tcMar>
            <w:vAlign w:val="center"/>
          </w:tcPr>
          <w:p w14:paraId="1CF21FF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0.176</w:t>
            </w:r>
          </w:p>
        </w:tc>
        <w:tc>
          <w:tcPr>
            <w:tcW w:w="723" w:type="dxa"/>
            <w:tcBorders>
              <w:top w:val="nil"/>
              <w:left w:val="nil"/>
              <w:bottom w:val="nil"/>
              <w:right w:val="nil"/>
            </w:tcBorders>
            <w:shd w:val="clear" w:color="auto" w:fill="FFFFFF"/>
            <w:tcMar>
              <w:top w:w="-1" w:type="dxa"/>
              <w:left w:w="-1" w:type="dxa"/>
              <w:bottom w:w="-1" w:type="dxa"/>
              <w:right w:w="-1" w:type="dxa"/>
            </w:tcMar>
            <w:vAlign w:val="center"/>
          </w:tcPr>
          <w:p w14:paraId="1CF21FF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-0.264</w:t>
            </w:r>
          </w:p>
        </w:tc>
      </w:tr>
      <w:tr w:rsidR="00A72648" w14:paraId="1CF2200A" w14:textId="77777777">
        <w:trPr>
          <w:trHeight w:val="692"/>
          <w:jc w:val="center"/>
        </w:trPr>
        <w:tc>
          <w:tcPr>
            <w:tcW w:w="924" w:type="dxa"/>
            <w:tcBorders>
              <w:top w:val="nil"/>
              <w:left w:val="nil"/>
              <w:bottom w:val="nil"/>
              <w:right w:val="nil"/>
            </w:tcBorders>
            <w:shd w:val="clear" w:color="auto" w:fill="FFFFFF"/>
            <w:tcMar>
              <w:top w:w="-1" w:type="dxa"/>
              <w:left w:w="-1" w:type="dxa"/>
              <w:bottom w:w="-1" w:type="dxa"/>
              <w:right w:w="-1" w:type="dxa"/>
            </w:tcMar>
            <w:vAlign w:val="center"/>
          </w:tcPr>
          <w:p w14:paraId="1CF2200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Year</w:t>
            </w:r>
          </w:p>
        </w:tc>
        <w:tc>
          <w:tcPr>
            <w:tcW w:w="710" w:type="dxa"/>
            <w:tcBorders>
              <w:top w:val="nil"/>
              <w:left w:val="nil"/>
              <w:bottom w:val="nil"/>
              <w:right w:val="nil"/>
            </w:tcBorders>
            <w:shd w:val="clear" w:color="auto" w:fill="FFFFFF"/>
            <w:tcMar>
              <w:top w:w="-1" w:type="dxa"/>
              <w:left w:w="-1" w:type="dxa"/>
              <w:bottom w:w="-1" w:type="dxa"/>
              <w:right w:w="-1" w:type="dxa"/>
            </w:tcMar>
            <w:vAlign w:val="center"/>
          </w:tcPr>
          <w:p w14:paraId="1CF2200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NA</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200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60" w:type="dxa"/>
            <w:tcBorders>
              <w:top w:val="nil"/>
              <w:left w:val="nil"/>
              <w:bottom w:val="nil"/>
              <w:right w:val="nil"/>
            </w:tcBorders>
            <w:shd w:val="clear" w:color="auto" w:fill="FFFFFF"/>
            <w:tcMar>
              <w:top w:w="-1" w:type="dxa"/>
              <w:left w:w="-1" w:type="dxa"/>
              <w:bottom w:w="-1" w:type="dxa"/>
              <w:right w:w="-1" w:type="dxa"/>
            </w:tcMar>
            <w:vAlign w:val="center"/>
          </w:tcPr>
          <w:p w14:paraId="1CF2200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70" w:type="dxa"/>
            <w:tcBorders>
              <w:top w:val="nil"/>
              <w:left w:val="nil"/>
              <w:bottom w:val="nil"/>
              <w:right w:val="nil"/>
            </w:tcBorders>
            <w:shd w:val="clear" w:color="auto" w:fill="FFFFFF"/>
            <w:tcMar>
              <w:top w:w="-1" w:type="dxa"/>
              <w:left w:w="-1" w:type="dxa"/>
              <w:bottom w:w="-1" w:type="dxa"/>
              <w:right w:w="-1" w:type="dxa"/>
            </w:tcMar>
            <w:vAlign w:val="center"/>
          </w:tcPr>
          <w:p w14:paraId="1CF2200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50" w:type="dxa"/>
            <w:tcBorders>
              <w:top w:val="nil"/>
              <w:left w:val="nil"/>
              <w:bottom w:val="nil"/>
              <w:right w:val="nil"/>
            </w:tcBorders>
            <w:shd w:val="clear" w:color="auto" w:fill="FFFFFF"/>
            <w:tcMar>
              <w:top w:w="-1" w:type="dxa"/>
              <w:left w:w="-1" w:type="dxa"/>
              <w:bottom w:w="-1" w:type="dxa"/>
              <w:right w:w="-1" w:type="dxa"/>
            </w:tcMar>
            <w:vAlign w:val="center"/>
          </w:tcPr>
          <w:p w14:paraId="1CF2200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40" w:type="dxa"/>
            <w:tcBorders>
              <w:top w:val="nil"/>
              <w:left w:val="nil"/>
              <w:bottom w:val="nil"/>
              <w:right w:val="nil"/>
            </w:tcBorders>
            <w:shd w:val="clear" w:color="auto" w:fill="FFFFFF"/>
            <w:tcMar>
              <w:top w:w="-1" w:type="dxa"/>
              <w:left w:w="-1" w:type="dxa"/>
              <w:bottom w:w="-1" w:type="dxa"/>
              <w:right w:w="-1" w:type="dxa"/>
            </w:tcMar>
            <w:vAlign w:val="center"/>
          </w:tcPr>
          <w:p w14:paraId="1CF2200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0.037</w:t>
            </w:r>
          </w:p>
        </w:tc>
        <w:tc>
          <w:tcPr>
            <w:tcW w:w="886" w:type="dxa"/>
            <w:tcBorders>
              <w:top w:val="nil"/>
              <w:left w:val="nil"/>
              <w:bottom w:val="nil"/>
              <w:right w:val="nil"/>
            </w:tcBorders>
            <w:shd w:val="clear" w:color="auto" w:fill="FFFFFF"/>
            <w:tcMar>
              <w:top w:w="-1" w:type="dxa"/>
              <w:left w:w="-1" w:type="dxa"/>
              <w:bottom w:w="-1" w:type="dxa"/>
              <w:right w:w="-1" w:type="dxa"/>
            </w:tcMar>
            <w:vAlign w:val="center"/>
          </w:tcPr>
          <w:p w14:paraId="1CF2200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14" w:type="dxa"/>
            <w:tcBorders>
              <w:top w:val="nil"/>
              <w:left w:val="nil"/>
              <w:bottom w:val="nil"/>
              <w:right w:val="nil"/>
            </w:tcBorders>
            <w:shd w:val="clear" w:color="auto" w:fill="FFFFFF"/>
            <w:tcMar>
              <w:top w:w="-1" w:type="dxa"/>
              <w:left w:w="-1" w:type="dxa"/>
              <w:bottom w:w="-1" w:type="dxa"/>
              <w:right w:w="-1" w:type="dxa"/>
            </w:tcMar>
            <w:vAlign w:val="center"/>
          </w:tcPr>
          <w:p w14:paraId="1CF22008" w14:textId="77777777" w:rsidR="00A72648" w:rsidRDefault="00A72648">
            <w:pPr>
              <w:jc w:val="center"/>
              <w:rPr>
                <w:rFonts w:ascii="Times New Roman" w:hAnsi="Times New Roman" w:cs="Times New Roman"/>
                <w:color w:val="000000"/>
                <w:szCs w:val="21"/>
              </w:rPr>
            </w:pPr>
          </w:p>
        </w:tc>
        <w:tc>
          <w:tcPr>
            <w:tcW w:w="723" w:type="dxa"/>
            <w:tcBorders>
              <w:top w:val="nil"/>
              <w:left w:val="nil"/>
              <w:bottom w:val="nil"/>
              <w:right w:val="nil"/>
            </w:tcBorders>
            <w:shd w:val="clear" w:color="auto" w:fill="FFFFFF"/>
            <w:tcMar>
              <w:top w:w="-1" w:type="dxa"/>
              <w:left w:w="-1" w:type="dxa"/>
              <w:bottom w:w="-1" w:type="dxa"/>
              <w:right w:w="-1" w:type="dxa"/>
            </w:tcMar>
            <w:vAlign w:val="center"/>
          </w:tcPr>
          <w:p w14:paraId="1CF2200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-0.131</w:t>
            </w:r>
          </w:p>
        </w:tc>
      </w:tr>
      <w:tr w:rsidR="00A72648" w14:paraId="1CF22015" w14:textId="77777777">
        <w:trPr>
          <w:trHeight w:val="502"/>
          <w:jc w:val="center"/>
        </w:trPr>
        <w:tc>
          <w:tcPr>
            <w:tcW w:w="924"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0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Month</w:t>
            </w:r>
          </w:p>
        </w:tc>
        <w:tc>
          <w:tcPr>
            <w:tcW w:w="710"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0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NA</w:t>
            </w:r>
          </w:p>
        </w:tc>
        <w:tc>
          <w:tcPr>
            <w:tcW w:w="860"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0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60"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0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70"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0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50"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1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40"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1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86"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1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814"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1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&lt;0.001</w:t>
            </w:r>
          </w:p>
        </w:tc>
        <w:tc>
          <w:tcPr>
            <w:tcW w:w="723"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014" w14:textId="77777777" w:rsidR="00A72648" w:rsidRDefault="00A72648">
            <w:pPr>
              <w:jc w:val="center"/>
              <w:rPr>
                <w:rFonts w:ascii="Times New Roman" w:hAnsi="Times New Roman" w:cs="Times New Roman"/>
                <w:color w:val="000000"/>
                <w:szCs w:val="21"/>
              </w:rPr>
            </w:pPr>
          </w:p>
        </w:tc>
      </w:tr>
    </w:tbl>
    <w:p w14:paraId="1CF22016" w14:textId="77777777" w:rsidR="00A72648" w:rsidRDefault="00A72648"/>
    <w:p w14:paraId="1CF22017" w14:textId="77777777" w:rsidR="00A72648" w:rsidRDefault="00000000">
      <w:pPr>
        <w:rPr>
          <w:rFonts w:ascii="Times New Roman" w:hAnsi="Times New Roman" w:cs="Times New Roman"/>
          <w:sz w:val="24"/>
        </w:rPr>
      </w:pPr>
      <w:r>
        <w:rPr>
          <w:rFonts w:ascii="Times New Roman" w:hAnsi="Times New Roman" w:cs="Times New Roman"/>
          <w:b/>
          <w:bCs/>
        </w:rPr>
        <w:t xml:space="preserve">Table </w:t>
      </w:r>
      <w:r>
        <w:rPr>
          <w:rFonts w:ascii="Times New Roman" w:hAnsi="Times New Roman" w:cs="Times New Roman" w:hint="eastAsia"/>
          <w:b/>
          <w:bCs/>
        </w:rPr>
        <w:t>2</w:t>
      </w:r>
      <w:r>
        <w:rPr>
          <w:rFonts w:ascii="Times New Roman" w:hAnsi="Times New Roman" w:cs="Times New Roman"/>
          <w:b/>
          <w:bCs/>
        </w:rPr>
        <w:t>.</w:t>
      </w:r>
      <w:r>
        <w:rPr>
          <w:rFonts w:ascii="Times New Roman" w:hAnsi="Times New Roman" w:cs="Times New Roman"/>
        </w:rPr>
        <w:t xml:space="preserve"> Model specifications for the Random Forest and Gradient Boosting Machine algorithms.</w:t>
      </w:r>
    </w:p>
    <w:tbl>
      <w:tblPr>
        <w:tblpPr w:leftFromText="180" w:rightFromText="180" w:vertAnchor="text" w:horzAnchor="page" w:tblpX="2474"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280"/>
        <w:gridCol w:w="2194"/>
      </w:tblGrid>
      <w:tr w:rsidR="00A72648" w14:paraId="1CF2201B" w14:textId="77777777">
        <w:trPr>
          <w:trHeight w:val="320"/>
        </w:trPr>
        <w:tc>
          <w:tcPr>
            <w:tcW w:w="2494" w:type="dxa"/>
            <w:tcBorders>
              <w:top w:val="single" w:sz="12" w:space="0" w:color="000000"/>
              <w:left w:val="nil"/>
              <w:bottom w:val="single" w:sz="4" w:space="0" w:color="000000"/>
              <w:right w:val="nil"/>
              <w:tl2br w:val="nil"/>
            </w:tcBorders>
            <w:shd w:val="clear" w:color="auto" w:fill="FFFFFF"/>
          </w:tcPr>
          <w:p w14:paraId="1CF22018"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Model</w:t>
            </w:r>
          </w:p>
        </w:tc>
        <w:tc>
          <w:tcPr>
            <w:tcW w:w="2280" w:type="dxa"/>
            <w:tcBorders>
              <w:top w:val="single" w:sz="12" w:space="0" w:color="000000"/>
              <w:left w:val="nil"/>
              <w:bottom w:val="single" w:sz="4" w:space="0" w:color="000000"/>
              <w:right w:val="nil"/>
            </w:tcBorders>
            <w:shd w:val="clear" w:color="auto" w:fill="FFFFFF"/>
          </w:tcPr>
          <w:p w14:paraId="1CF2201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Hyperparameter</w:t>
            </w:r>
          </w:p>
        </w:tc>
        <w:tc>
          <w:tcPr>
            <w:tcW w:w="2194" w:type="dxa"/>
            <w:tcBorders>
              <w:top w:val="single" w:sz="12" w:space="0" w:color="000000"/>
              <w:left w:val="nil"/>
              <w:bottom w:val="single" w:sz="4" w:space="0" w:color="000000"/>
              <w:right w:val="nil"/>
            </w:tcBorders>
            <w:shd w:val="clear" w:color="auto" w:fill="FFFFFF"/>
          </w:tcPr>
          <w:p w14:paraId="1CF2201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Value</w:t>
            </w:r>
          </w:p>
        </w:tc>
      </w:tr>
      <w:tr w:rsidR="00A72648" w14:paraId="1CF2201F" w14:textId="77777777">
        <w:trPr>
          <w:trHeight w:val="450"/>
        </w:trPr>
        <w:tc>
          <w:tcPr>
            <w:tcW w:w="2494" w:type="dxa"/>
            <w:tcBorders>
              <w:top w:val="single" w:sz="4" w:space="0" w:color="000000"/>
              <w:left w:val="nil"/>
              <w:bottom w:val="nil"/>
              <w:right w:val="nil"/>
            </w:tcBorders>
            <w:shd w:val="clear" w:color="auto" w:fill="FFFFFF"/>
          </w:tcPr>
          <w:p w14:paraId="1CF2201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Random Forest (RF)</w:t>
            </w:r>
          </w:p>
        </w:tc>
        <w:tc>
          <w:tcPr>
            <w:tcW w:w="2280" w:type="dxa"/>
            <w:tcBorders>
              <w:top w:val="single" w:sz="4" w:space="0" w:color="000000"/>
              <w:left w:val="nil"/>
              <w:bottom w:val="nil"/>
              <w:right w:val="nil"/>
            </w:tcBorders>
            <w:shd w:val="clear" w:color="auto" w:fill="FFFFFF"/>
          </w:tcPr>
          <w:p w14:paraId="1CF2201D" w14:textId="77777777" w:rsidR="00A72648" w:rsidRDefault="00000000">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ntree</w:t>
            </w:r>
            <w:proofErr w:type="spellEnd"/>
          </w:p>
        </w:tc>
        <w:tc>
          <w:tcPr>
            <w:tcW w:w="2194" w:type="dxa"/>
            <w:tcBorders>
              <w:top w:val="single" w:sz="4" w:space="0" w:color="000000"/>
              <w:left w:val="nil"/>
              <w:bottom w:val="nil"/>
              <w:right w:val="nil"/>
            </w:tcBorders>
            <w:shd w:val="clear" w:color="auto" w:fill="FFFFFF"/>
          </w:tcPr>
          <w:p w14:paraId="1CF2201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500</w:t>
            </w:r>
          </w:p>
        </w:tc>
      </w:tr>
      <w:tr w:rsidR="00A72648" w14:paraId="1CF22023" w14:textId="77777777">
        <w:trPr>
          <w:trHeight w:val="560"/>
        </w:trPr>
        <w:tc>
          <w:tcPr>
            <w:tcW w:w="2494" w:type="dxa"/>
            <w:tcBorders>
              <w:top w:val="nil"/>
              <w:left w:val="nil"/>
              <w:bottom w:val="nil"/>
              <w:right w:val="nil"/>
            </w:tcBorders>
            <w:shd w:val="clear" w:color="auto" w:fill="FFFFFF"/>
          </w:tcPr>
          <w:p w14:paraId="1CF22020" w14:textId="77777777" w:rsidR="00A72648" w:rsidRDefault="00A72648">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CF2202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importance</w:t>
            </w:r>
          </w:p>
        </w:tc>
        <w:tc>
          <w:tcPr>
            <w:tcW w:w="2194" w:type="dxa"/>
            <w:tcBorders>
              <w:top w:val="nil"/>
              <w:left w:val="nil"/>
              <w:bottom w:val="nil"/>
              <w:right w:val="nil"/>
            </w:tcBorders>
            <w:shd w:val="clear" w:color="auto" w:fill="FFFFFF"/>
          </w:tcPr>
          <w:p w14:paraId="1CF2202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TRUE</w:t>
            </w:r>
          </w:p>
        </w:tc>
      </w:tr>
      <w:tr w:rsidR="00A72648" w14:paraId="1CF22027" w14:textId="77777777">
        <w:trPr>
          <w:trHeight w:val="706"/>
        </w:trPr>
        <w:tc>
          <w:tcPr>
            <w:tcW w:w="2494" w:type="dxa"/>
            <w:tcBorders>
              <w:top w:val="nil"/>
              <w:left w:val="nil"/>
              <w:bottom w:val="nil"/>
              <w:right w:val="nil"/>
            </w:tcBorders>
            <w:shd w:val="clear" w:color="auto" w:fill="FFFFFF"/>
          </w:tcPr>
          <w:p w14:paraId="1CF22024" w14:textId="77777777" w:rsidR="00A72648" w:rsidRDefault="00A72648">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CF2202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Other parameters</w:t>
            </w:r>
          </w:p>
        </w:tc>
        <w:tc>
          <w:tcPr>
            <w:tcW w:w="2194" w:type="dxa"/>
            <w:tcBorders>
              <w:top w:val="nil"/>
              <w:left w:val="nil"/>
              <w:bottom w:val="nil"/>
              <w:right w:val="nil"/>
            </w:tcBorders>
            <w:shd w:val="clear" w:color="auto" w:fill="FFFFFF"/>
          </w:tcPr>
          <w:p w14:paraId="1CF22026" w14:textId="77777777" w:rsidR="00A72648" w:rsidRDefault="00000000">
            <w:pPr>
              <w:jc w:val="center"/>
              <w:rPr>
                <w:rFonts w:ascii="Times New Roman" w:hAnsi="Times New Roman" w:cs="Times New Roman"/>
                <w:color w:val="000000"/>
                <w:szCs w:val="21"/>
              </w:rPr>
            </w:pPr>
            <w:r>
              <w:rPr>
                <w:rFonts w:ascii="Times New Roman" w:hAnsi="Times New Roman" w:cs="Times New Roman"/>
              </w:rPr>
              <w:t xml:space="preserve">Using default </w:t>
            </w:r>
            <w:proofErr w:type="spellStart"/>
            <w:r>
              <w:rPr>
                <w:rFonts w:ascii="Times New Roman" w:hAnsi="Times New Roman" w:cs="Times New Roman"/>
              </w:rPr>
              <w:t>randomForest</w:t>
            </w:r>
            <w:proofErr w:type="spellEnd"/>
            <w:r>
              <w:rPr>
                <w:rFonts w:ascii="Times New Roman" w:hAnsi="Times New Roman" w:cs="Times New Roman"/>
              </w:rPr>
              <w:t xml:space="preserve"> settings</w:t>
            </w:r>
          </w:p>
        </w:tc>
      </w:tr>
      <w:tr w:rsidR="00A72648" w14:paraId="1CF2202B" w14:textId="77777777">
        <w:trPr>
          <w:trHeight w:val="666"/>
        </w:trPr>
        <w:tc>
          <w:tcPr>
            <w:tcW w:w="2494" w:type="dxa"/>
            <w:tcBorders>
              <w:top w:val="nil"/>
              <w:left w:val="nil"/>
              <w:bottom w:val="nil"/>
              <w:right w:val="nil"/>
            </w:tcBorders>
            <w:shd w:val="clear" w:color="auto" w:fill="FFFFFF"/>
          </w:tcPr>
          <w:p w14:paraId="1CF2202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Gradient Boosting Machine (GBM)</w:t>
            </w:r>
          </w:p>
        </w:tc>
        <w:tc>
          <w:tcPr>
            <w:tcW w:w="2280" w:type="dxa"/>
            <w:tcBorders>
              <w:top w:val="nil"/>
              <w:left w:val="nil"/>
              <w:bottom w:val="nil"/>
              <w:right w:val="nil"/>
            </w:tcBorders>
            <w:shd w:val="clear" w:color="auto" w:fill="FFFFFF"/>
          </w:tcPr>
          <w:p w14:paraId="1CF22029" w14:textId="77777777" w:rsidR="00A72648" w:rsidRDefault="00000000">
            <w:pPr>
              <w:jc w:val="center"/>
              <w:rPr>
                <w:rFonts w:ascii="Times New Roman" w:hAnsi="Times New Roman" w:cs="Times New Roman"/>
                <w:color w:val="000000"/>
                <w:szCs w:val="21"/>
              </w:rPr>
            </w:pPr>
            <w:proofErr w:type="spellStart"/>
            <w:proofErr w:type="gramStart"/>
            <w:r>
              <w:rPr>
                <w:rFonts w:ascii="Times New Roman" w:hAnsi="Times New Roman" w:cs="Times New Roman"/>
                <w:color w:val="000000"/>
                <w:szCs w:val="21"/>
              </w:rPr>
              <w:t>n.trees</w:t>
            </w:r>
            <w:proofErr w:type="spellEnd"/>
            <w:proofErr w:type="gramEnd"/>
          </w:p>
        </w:tc>
        <w:tc>
          <w:tcPr>
            <w:tcW w:w="2194" w:type="dxa"/>
            <w:tcBorders>
              <w:top w:val="nil"/>
              <w:left w:val="nil"/>
              <w:bottom w:val="nil"/>
              <w:right w:val="nil"/>
            </w:tcBorders>
            <w:shd w:val="clear" w:color="auto" w:fill="FFFFFF"/>
          </w:tcPr>
          <w:p w14:paraId="1CF2202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5,000</w:t>
            </w:r>
          </w:p>
        </w:tc>
      </w:tr>
      <w:tr w:rsidR="00A72648" w14:paraId="1CF2202F" w14:textId="77777777">
        <w:trPr>
          <w:trHeight w:val="562"/>
        </w:trPr>
        <w:tc>
          <w:tcPr>
            <w:tcW w:w="2494" w:type="dxa"/>
            <w:tcBorders>
              <w:top w:val="nil"/>
              <w:left w:val="nil"/>
              <w:bottom w:val="nil"/>
              <w:right w:val="nil"/>
            </w:tcBorders>
            <w:shd w:val="clear" w:color="auto" w:fill="FFFFFF"/>
          </w:tcPr>
          <w:p w14:paraId="1CF2202C" w14:textId="77777777" w:rsidR="00A72648" w:rsidRDefault="00A72648">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CF2202D" w14:textId="77777777" w:rsidR="00A72648" w:rsidRDefault="00000000">
            <w:pPr>
              <w:jc w:val="center"/>
              <w:rPr>
                <w:rFonts w:ascii="Times New Roman" w:hAnsi="Times New Roman" w:cs="Times New Roman"/>
                <w:color w:val="000000"/>
                <w:szCs w:val="21"/>
              </w:rPr>
            </w:pPr>
            <w:proofErr w:type="spellStart"/>
            <w:proofErr w:type="gramStart"/>
            <w:r>
              <w:rPr>
                <w:rFonts w:ascii="Times New Roman" w:hAnsi="Times New Roman" w:cs="Times New Roman"/>
                <w:color w:val="000000"/>
                <w:szCs w:val="21"/>
              </w:rPr>
              <w:t>interaction.depth</w:t>
            </w:r>
            <w:proofErr w:type="spellEnd"/>
            <w:proofErr w:type="gramEnd"/>
          </w:p>
        </w:tc>
        <w:tc>
          <w:tcPr>
            <w:tcW w:w="2194" w:type="dxa"/>
            <w:tcBorders>
              <w:top w:val="nil"/>
              <w:left w:val="nil"/>
              <w:bottom w:val="nil"/>
              <w:right w:val="nil"/>
            </w:tcBorders>
            <w:shd w:val="clear" w:color="auto" w:fill="FFFFFF"/>
          </w:tcPr>
          <w:p w14:paraId="1CF2202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4</w:t>
            </w:r>
          </w:p>
        </w:tc>
      </w:tr>
      <w:tr w:rsidR="00A72648" w14:paraId="1CF22033" w14:textId="77777777">
        <w:trPr>
          <w:trHeight w:val="538"/>
        </w:trPr>
        <w:tc>
          <w:tcPr>
            <w:tcW w:w="2494" w:type="dxa"/>
            <w:tcBorders>
              <w:top w:val="nil"/>
              <w:left w:val="nil"/>
              <w:bottom w:val="nil"/>
              <w:right w:val="nil"/>
            </w:tcBorders>
            <w:shd w:val="clear" w:color="auto" w:fill="FFFFFF"/>
          </w:tcPr>
          <w:p w14:paraId="1CF22030" w14:textId="77777777" w:rsidR="00A72648" w:rsidRDefault="00A72648">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CF2203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shrinkage</w:t>
            </w:r>
          </w:p>
        </w:tc>
        <w:tc>
          <w:tcPr>
            <w:tcW w:w="2194" w:type="dxa"/>
            <w:tcBorders>
              <w:top w:val="nil"/>
              <w:left w:val="nil"/>
              <w:bottom w:val="nil"/>
              <w:right w:val="nil"/>
            </w:tcBorders>
            <w:shd w:val="clear" w:color="auto" w:fill="FFFFFF"/>
          </w:tcPr>
          <w:p w14:paraId="1CF2203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0.01</w:t>
            </w:r>
          </w:p>
        </w:tc>
      </w:tr>
      <w:tr w:rsidR="00A72648" w14:paraId="1CF22037" w14:textId="77777777">
        <w:trPr>
          <w:trHeight w:val="488"/>
        </w:trPr>
        <w:tc>
          <w:tcPr>
            <w:tcW w:w="2494" w:type="dxa"/>
            <w:tcBorders>
              <w:top w:val="nil"/>
              <w:left w:val="nil"/>
              <w:bottom w:val="nil"/>
              <w:right w:val="nil"/>
            </w:tcBorders>
            <w:shd w:val="clear" w:color="auto" w:fill="FFFFFF"/>
          </w:tcPr>
          <w:p w14:paraId="1CF22034" w14:textId="77777777" w:rsidR="00A72648" w:rsidRDefault="00A72648">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CF2203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distribution</w:t>
            </w:r>
          </w:p>
        </w:tc>
        <w:tc>
          <w:tcPr>
            <w:tcW w:w="2194" w:type="dxa"/>
            <w:tcBorders>
              <w:top w:val="nil"/>
              <w:left w:val="nil"/>
              <w:bottom w:val="nil"/>
              <w:right w:val="nil"/>
            </w:tcBorders>
            <w:shd w:val="clear" w:color="auto" w:fill="FFFFFF"/>
          </w:tcPr>
          <w:p w14:paraId="1CF2203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gaussian</w:t>
            </w:r>
          </w:p>
        </w:tc>
      </w:tr>
      <w:tr w:rsidR="00A72648" w14:paraId="1CF2203B" w14:textId="77777777">
        <w:trPr>
          <w:trHeight w:val="505"/>
        </w:trPr>
        <w:tc>
          <w:tcPr>
            <w:tcW w:w="2494" w:type="dxa"/>
            <w:tcBorders>
              <w:top w:val="nil"/>
              <w:left w:val="nil"/>
              <w:bottom w:val="single" w:sz="12" w:space="0" w:color="000000"/>
              <w:right w:val="nil"/>
            </w:tcBorders>
            <w:shd w:val="clear" w:color="auto" w:fill="FFFFFF"/>
          </w:tcPr>
          <w:p w14:paraId="1CF22038" w14:textId="77777777" w:rsidR="00A72648" w:rsidRDefault="00A72648">
            <w:pPr>
              <w:jc w:val="center"/>
              <w:rPr>
                <w:rFonts w:ascii="Times New Roman" w:hAnsi="Times New Roman" w:cs="Times New Roman"/>
                <w:color w:val="000000"/>
                <w:szCs w:val="21"/>
              </w:rPr>
            </w:pPr>
          </w:p>
        </w:tc>
        <w:tc>
          <w:tcPr>
            <w:tcW w:w="2280" w:type="dxa"/>
            <w:tcBorders>
              <w:top w:val="nil"/>
              <w:left w:val="nil"/>
              <w:bottom w:val="single" w:sz="12" w:space="0" w:color="000000"/>
              <w:right w:val="nil"/>
            </w:tcBorders>
            <w:shd w:val="clear" w:color="auto" w:fill="FFFFFF"/>
          </w:tcPr>
          <w:p w14:paraId="1CF2203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Other parameters</w:t>
            </w:r>
          </w:p>
        </w:tc>
        <w:tc>
          <w:tcPr>
            <w:tcW w:w="2194" w:type="dxa"/>
            <w:tcBorders>
              <w:top w:val="nil"/>
              <w:left w:val="nil"/>
              <w:bottom w:val="single" w:sz="12" w:space="0" w:color="000000"/>
              <w:right w:val="nil"/>
            </w:tcBorders>
            <w:shd w:val="clear" w:color="auto" w:fill="FFFFFF"/>
          </w:tcPr>
          <w:p w14:paraId="1CF2203A" w14:textId="77777777" w:rsidR="00A72648" w:rsidRDefault="00000000">
            <w:pPr>
              <w:jc w:val="center"/>
              <w:rPr>
                <w:rFonts w:ascii="Times New Roman" w:hAnsi="Times New Roman" w:cs="Times New Roman"/>
                <w:color w:val="000000"/>
                <w:szCs w:val="21"/>
              </w:rPr>
            </w:pPr>
            <w:r>
              <w:rPr>
                <w:rFonts w:ascii="Times New Roman" w:hAnsi="Times New Roman" w:cs="Times New Roman"/>
              </w:rPr>
              <w:t xml:space="preserve">Using default </w:t>
            </w:r>
            <w:proofErr w:type="spellStart"/>
            <w:r>
              <w:rPr>
                <w:rFonts w:ascii="Times New Roman" w:hAnsi="Times New Roman" w:cs="Times New Roman"/>
              </w:rPr>
              <w:t>gbm</w:t>
            </w:r>
            <w:proofErr w:type="spellEnd"/>
            <w:r>
              <w:rPr>
                <w:rFonts w:ascii="Times New Roman" w:hAnsi="Times New Roman" w:cs="Times New Roman"/>
              </w:rPr>
              <w:t xml:space="preserve"> settings</w:t>
            </w:r>
          </w:p>
        </w:tc>
      </w:tr>
    </w:tbl>
    <w:p w14:paraId="1CF2203C" w14:textId="77777777" w:rsidR="00A72648" w:rsidRDefault="00A72648"/>
    <w:p w14:paraId="1CF2203D" w14:textId="77777777" w:rsidR="00A72648" w:rsidRDefault="00A72648"/>
    <w:p w14:paraId="1CF2203E" w14:textId="77777777" w:rsidR="00A72648" w:rsidRDefault="00A72648"/>
    <w:p w14:paraId="1CF2203F" w14:textId="77777777" w:rsidR="00A72648" w:rsidRDefault="00A72648"/>
    <w:p w14:paraId="1CF22040" w14:textId="77777777" w:rsidR="00A72648" w:rsidRDefault="00A72648"/>
    <w:p w14:paraId="1CF22041" w14:textId="77777777" w:rsidR="00A72648" w:rsidRDefault="00A72648"/>
    <w:p w14:paraId="1CF22042" w14:textId="77777777" w:rsidR="00A72648" w:rsidRDefault="00A72648"/>
    <w:p w14:paraId="1CF22043" w14:textId="77777777" w:rsidR="00A72648" w:rsidRDefault="00A72648">
      <w:pPr>
        <w:rPr>
          <w:rFonts w:ascii="Times New Roman" w:hAnsi="Times New Roman" w:cs="Times New Roman"/>
          <w:b/>
          <w:bCs/>
        </w:rPr>
      </w:pPr>
    </w:p>
    <w:p w14:paraId="1CF22044" w14:textId="77777777" w:rsidR="00A72648" w:rsidRDefault="00A72648">
      <w:pPr>
        <w:rPr>
          <w:rFonts w:ascii="Times New Roman" w:hAnsi="Times New Roman" w:cs="Times New Roman"/>
          <w:b/>
          <w:bCs/>
        </w:rPr>
      </w:pPr>
    </w:p>
    <w:p w14:paraId="1CF22045" w14:textId="77777777" w:rsidR="00A72648" w:rsidRDefault="00000000">
      <w:pPr>
        <w:rPr>
          <w:rFonts w:ascii="Times New Roman" w:hAnsi="Times New Roman" w:cs="Times New Roman"/>
          <w:sz w:val="24"/>
        </w:rPr>
      </w:pPr>
      <w:r>
        <w:rPr>
          <w:rFonts w:ascii="Times New Roman" w:hAnsi="Times New Roman" w:cs="Times New Roman"/>
          <w:b/>
          <w:bCs/>
        </w:rPr>
        <w:t xml:space="preserve">Table </w:t>
      </w:r>
      <w:r>
        <w:rPr>
          <w:rFonts w:ascii="Times New Roman" w:hAnsi="Times New Roman" w:cs="Times New Roman" w:hint="eastAsia"/>
          <w:b/>
          <w:bCs/>
        </w:rPr>
        <w:t>3</w:t>
      </w:r>
      <w:r>
        <w:rPr>
          <w:rFonts w:ascii="Times New Roman" w:hAnsi="Times New Roman" w:cs="Times New Roman"/>
          <w:b/>
          <w:bCs/>
        </w:rPr>
        <w:t>.</w:t>
      </w:r>
      <w:r>
        <w:rPr>
          <w:rFonts w:ascii="Times New Roman" w:hAnsi="Times New Roman" w:cs="Times New Roman"/>
        </w:rPr>
        <w:t xml:space="preserve"> Performance metrics (RMSE, R²) of the GAM, RF, and GBM models for standardizing CPUE of the winter-spring cohort, autumn cohort, and </w:t>
      </w:r>
      <w:r>
        <w:rPr>
          <w:rFonts w:ascii="Times New Roman" w:hAnsi="Times New Roman" w:cs="Times New Roman" w:hint="eastAsia"/>
        </w:rPr>
        <w:t>stock-wide</w:t>
      </w:r>
      <w:r>
        <w:rPr>
          <w:rFonts w:ascii="Times New Roman" w:hAnsi="Times New Roman" w:cs="Times New Roman"/>
        </w:rPr>
        <w:t> of neon flying squid.</w:t>
      </w:r>
    </w:p>
    <w:tbl>
      <w:tblPr>
        <w:tblStyle w:val="TableGrid"/>
        <w:tblW w:w="0" w:type="auto"/>
        <w:tblInd w:w="121" w:type="dxa"/>
        <w:tblLook w:val="04A0" w:firstRow="1" w:lastRow="0" w:firstColumn="1" w:lastColumn="0" w:noHBand="0" w:noVBand="1"/>
      </w:tblPr>
      <w:tblGrid>
        <w:gridCol w:w="2548"/>
        <w:gridCol w:w="1591"/>
        <w:gridCol w:w="2131"/>
        <w:gridCol w:w="2029"/>
      </w:tblGrid>
      <w:tr w:rsidR="00A72648" w14:paraId="1CF2204A" w14:textId="77777777">
        <w:trPr>
          <w:trHeight w:val="396"/>
        </w:trPr>
        <w:tc>
          <w:tcPr>
            <w:tcW w:w="2548" w:type="dxa"/>
            <w:tcBorders>
              <w:top w:val="single" w:sz="12" w:space="0" w:color="000000"/>
              <w:left w:val="nil"/>
              <w:bottom w:val="single" w:sz="4" w:space="0" w:color="000000"/>
              <w:right w:val="nil"/>
              <w:tl2br w:val="nil"/>
            </w:tcBorders>
            <w:shd w:val="clear" w:color="auto" w:fill="FFFFFF"/>
            <w:vAlign w:val="center"/>
          </w:tcPr>
          <w:p w14:paraId="1CF2204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Stock</w:t>
            </w:r>
          </w:p>
        </w:tc>
        <w:tc>
          <w:tcPr>
            <w:tcW w:w="1591" w:type="dxa"/>
            <w:tcBorders>
              <w:top w:val="single" w:sz="12" w:space="0" w:color="000000"/>
              <w:left w:val="nil"/>
              <w:bottom w:val="single" w:sz="4" w:space="0" w:color="000000"/>
              <w:right w:val="nil"/>
            </w:tcBorders>
            <w:shd w:val="clear" w:color="auto" w:fill="FFFFFF"/>
          </w:tcPr>
          <w:p w14:paraId="1CF2204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Model</w:t>
            </w:r>
          </w:p>
        </w:tc>
        <w:tc>
          <w:tcPr>
            <w:tcW w:w="2131" w:type="dxa"/>
            <w:tcBorders>
              <w:top w:val="single" w:sz="12" w:space="0" w:color="000000"/>
              <w:left w:val="nil"/>
              <w:bottom w:val="single" w:sz="4" w:space="0" w:color="000000"/>
              <w:right w:val="nil"/>
            </w:tcBorders>
            <w:shd w:val="clear" w:color="auto" w:fill="FFFFFF"/>
          </w:tcPr>
          <w:p w14:paraId="1CF2204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RMSE</w:t>
            </w:r>
          </w:p>
        </w:tc>
        <w:tc>
          <w:tcPr>
            <w:tcW w:w="2029" w:type="dxa"/>
            <w:tcBorders>
              <w:top w:val="single" w:sz="12" w:space="0" w:color="000000"/>
              <w:left w:val="nil"/>
              <w:bottom w:val="single" w:sz="4" w:space="0" w:color="000000"/>
              <w:right w:val="nil"/>
            </w:tcBorders>
            <w:shd w:val="clear" w:color="auto" w:fill="FFFFFF"/>
          </w:tcPr>
          <w:p w14:paraId="1CF2204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R²</w:t>
            </w:r>
          </w:p>
        </w:tc>
      </w:tr>
      <w:tr w:rsidR="00A72648" w14:paraId="1CF2204F" w14:textId="77777777">
        <w:tc>
          <w:tcPr>
            <w:tcW w:w="2548" w:type="dxa"/>
            <w:tcBorders>
              <w:top w:val="single" w:sz="4" w:space="0" w:color="000000"/>
              <w:left w:val="nil"/>
              <w:bottom w:val="nil"/>
              <w:right w:val="nil"/>
            </w:tcBorders>
            <w:shd w:val="clear" w:color="auto" w:fill="FFFFFF"/>
            <w:vAlign w:val="center"/>
          </w:tcPr>
          <w:p w14:paraId="1CF2204B"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w</w:t>
            </w:r>
            <w:r>
              <w:rPr>
                <w:rFonts w:ascii="Times New Roman" w:hAnsi="Times New Roman" w:cs="Times New Roman"/>
                <w:color w:val="000000"/>
                <w:szCs w:val="21"/>
              </w:rPr>
              <w:t>inter-spring cohort</w:t>
            </w:r>
          </w:p>
        </w:tc>
        <w:tc>
          <w:tcPr>
            <w:tcW w:w="1591" w:type="dxa"/>
            <w:tcBorders>
              <w:top w:val="single" w:sz="4" w:space="0" w:color="000000"/>
              <w:left w:val="nil"/>
              <w:bottom w:val="nil"/>
              <w:right w:val="nil"/>
            </w:tcBorders>
            <w:shd w:val="clear" w:color="auto" w:fill="FFFFFF"/>
          </w:tcPr>
          <w:p w14:paraId="1CF2204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GAM</w:t>
            </w:r>
          </w:p>
        </w:tc>
        <w:tc>
          <w:tcPr>
            <w:tcW w:w="2131" w:type="dxa"/>
            <w:tcBorders>
              <w:top w:val="single" w:sz="4" w:space="0" w:color="000000"/>
              <w:left w:val="nil"/>
              <w:bottom w:val="nil"/>
              <w:right w:val="nil"/>
            </w:tcBorders>
            <w:shd w:val="clear" w:color="auto" w:fill="FFFFFF"/>
          </w:tcPr>
          <w:p w14:paraId="1CF2204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0.7626</w:t>
            </w:r>
          </w:p>
        </w:tc>
        <w:tc>
          <w:tcPr>
            <w:tcW w:w="2029" w:type="dxa"/>
            <w:tcBorders>
              <w:top w:val="single" w:sz="4" w:space="0" w:color="000000"/>
              <w:left w:val="nil"/>
              <w:bottom w:val="nil"/>
              <w:right w:val="nil"/>
            </w:tcBorders>
            <w:shd w:val="clear" w:color="auto" w:fill="FFFFFF"/>
          </w:tcPr>
          <w:p w14:paraId="1CF2204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0.4001</w:t>
            </w:r>
          </w:p>
        </w:tc>
      </w:tr>
      <w:tr w:rsidR="00A72648" w14:paraId="1CF22054" w14:textId="77777777">
        <w:tc>
          <w:tcPr>
            <w:tcW w:w="2548" w:type="dxa"/>
            <w:tcBorders>
              <w:top w:val="nil"/>
              <w:left w:val="nil"/>
              <w:bottom w:val="nil"/>
              <w:right w:val="nil"/>
            </w:tcBorders>
            <w:shd w:val="clear" w:color="auto" w:fill="FFFFFF"/>
          </w:tcPr>
          <w:p w14:paraId="1CF22050" w14:textId="77777777" w:rsidR="00A72648" w:rsidRDefault="00A72648">
            <w:pPr>
              <w:jc w:val="center"/>
              <w:rPr>
                <w:rFonts w:ascii="Times New Roman" w:hAnsi="Times New Roman" w:cs="Times New Roman"/>
                <w:color w:val="000000"/>
                <w:szCs w:val="21"/>
              </w:rPr>
            </w:pPr>
          </w:p>
        </w:tc>
        <w:tc>
          <w:tcPr>
            <w:tcW w:w="1591" w:type="dxa"/>
            <w:tcBorders>
              <w:top w:val="nil"/>
              <w:left w:val="nil"/>
              <w:bottom w:val="nil"/>
              <w:right w:val="nil"/>
            </w:tcBorders>
            <w:shd w:val="clear" w:color="auto" w:fill="FFFFFF"/>
          </w:tcPr>
          <w:p w14:paraId="1CF2205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RF</w:t>
            </w:r>
          </w:p>
        </w:tc>
        <w:tc>
          <w:tcPr>
            <w:tcW w:w="2131" w:type="dxa"/>
            <w:tcBorders>
              <w:top w:val="nil"/>
              <w:left w:val="nil"/>
              <w:bottom w:val="nil"/>
              <w:right w:val="nil"/>
            </w:tcBorders>
            <w:shd w:val="clear" w:color="auto" w:fill="FFFFFF"/>
          </w:tcPr>
          <w:p w14:paraId="1CF2205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0.3291</w:t>
            </w:r>
          </w:p>
        </w:tc>
        <w:tc>
          <w:tcPr>
            <w:tcW w:w="2029" w:type="dxa"/>
            <w:tcBorders>
              <w:top w:val="nil"/>
              <w:left w:val="nil"/>
              <w:bottom w:val="nil"/>
              <w:right w:val="nil"/>
            </w:tcBorders>
            <w:shd w:val="clear" w:color="auto" w:fill="FFFFFF"/>
          </w:tcPr>
          <w:p w14:paraId="1CF2205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0.8883</w:t>
            </w:r>
          </w:p>
        </w:tc>
      </w:tr>
      <w:tr w:rsidR="00A72648" w14:paraId="1CF22059" w14:textId="77777777">
        <w:tc>
          <w:tcPr>
            <w:tcW w:w="2548" w:type="dxa"/>
            <w:tcBorders>
              <w:top w:val="nil"/>
              <w:left w:val="nil"/>
              <w:bottom w:val="nil"/>
              <w:right w:val="nil"/>
            </w:tcBorders>
            <w:shd w:val="clear" w:color="auto" w:fill="FFFFFF"/>
          </w:tcPr>
          <w:p w14:paraId="1CF22055" w14:textId="77777777" w:rsidR="00A72648" w:rsidRDefault="00A72648">
            <w:pPr>
              <w:jc w:val="center"/>
              <w:rPr>
                <w:rFonts w:ascii="Times New Roman" w:hAnsi="Times New Roman" w:cs="Times New Roman"/>
                <w:color w:val="000000"/>
                <w:szCs w:val="21"/>
              </w:rPr>
            </w:pPr>
          </w:p>
        </w:tc>
        <w:tc>
          <w:tcPr>
            <w:tcW w:w="1591" w:type="dxa"/>
            <w:tcBorders>
              <w:top w:val="nil"/>
              <w:left w:val="nil"/>
              <w:bottom w:val="nil"/>
              <w:right w:val="nil"/>
            </w:tcBorders>
            <w:shd w:val="clear" w:color="auto" w:fill="FFFFFF"/>
          </w:tcPr>
          <w:p w14:paraId="1CF2205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GBM</w:t>
            </w:r>
          </w:p>
        </w:tc>
        <w:tc>
          <w:tcPr>
            <w:tcW w:w="2131" w:type="dxa"/>
            <w:tcBorders>
              <w:top w:val="nil"/>
              <w:left w:val="nil"/>
              <w:bottom w:val="nil"/>
              <w:right w:val="nil"/>
            </w:tcBorders>
            <w:shd w:val="clear" w:color="auto" w:fill="FFFFFF"/>
          </w:tcPr>
          <w:p w14:paraId="1CF2205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0.5506</w:t>
            </w:r>
          </w:p>
        </w:tc>
        <w:tc>
          <w:tcPr>
            <w:tcW w:w="2029" w:type="dxa"/>
            <w:tcBorders>
              <w:top w:val="nil"/>
              <w:left w:val="nil"/>
              <w:bottom w:val="nil"/>
              <w:right w:val="nil"/>
            </w:tcBorders>
            <w:shd w:val="clear" w:color="auto" w:fill="FFFFFF"/>
          </w:tcPr>
          <w:p w14:paraId="1CF2205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0.6873</w:t>
            </w:r>
          </w:p>
        </w:tc>
      </w:tr>
      <w:tr w:rsidR="00A72648" w14:paraId="1CF2205E" w14:textId="77777777">
        <w:tc>
          <w:tcPr>
            <w:tcW w:w="2548" w:type="dxa"/>
            <w:tcBorders>
              <w:top w:val="nil"/>
              <w:left w:val="nil"/>
              <w:bottom w:val="nil"/>
              <w:right w:val="nil"/>
            </w:tcBorders>
            <w:shd w:val="clear" w:color="auto" w:fill="FFFFFF"/>
            <w:vAlign w:val="center"/>
          </w:tcPr>
          <w:p w14:paraId="1CF2205A"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autumn</w:t>
            </w:r>
            <w:r>
              <w:rPr>
                <w:rFonts w:ascii="Times New Roman" w:hAnsi="Times New Roman" w:cs="Times New Roman"/>
                <w:color w:val="000000"/>
                <w:szCs w:val="21"/>
              </w:rPr>
              <w:t xml:space="preserve"> cohort</w:t>
            </w:r>
          </w:p>
        </w:tc>
        <w:tc>
          <w:tcPr>
            <w:tcW w:w="1591" w:type="dxa"/>
            <w:tcBorders>
              <w:top w:val="nil"/>
              <w:left w:val="nil"/>
              <w:bottom w:val="nil"/>
              <w:right w:val="nil"/>
            </w:tcBorders>
            <w:shd w:val="clear" w:color="auto" w:fill="FFFFFF"/>
          </w:tcPr>
          <w:p w14:paraId="1CF2205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GAM</w:t>
            </w:r>
          </w:p>
        </w:tc>
        <w:tc>
          <w:tcPr>
            <w:tcW w:w="2131" w:type="dxa"/>
            <w:tcBorders>
              <w:top w:val="nil"/>
              <w:left w:val="nil"/>
              <w:bottom w:val="nil"/>
              <w:right w:val="nil"/>
            </w:tcBorders>
            <w:shd w:val="clear" w:color="auto" w:fill="FFFFFF"/>
          </w:tcPr>
          <w:p w14:paraId="1CF2205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0.6543</w:t>
            </w:r>
          </w:p>
        </w:tc>
        <w:tc>
          <w:tcPr>
            <w:tcW w:w="2029" w:type="dxa"/>
            <w:tcBorders>
              <w:top w:val="nil"/>
              <w:left w:val="nil"/>
              <w:bottom w:val="nil"/>
              <w:right w:val="nil"/>
            </w:tcBorders>
            <w:shd w:val="clear" w:color="auto" w:fill="FFFFFF"/>
          </w:tcPr>
          <w:p w14:paraId="1CF2205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0.4278</w:t>
            </w:r>
          </w:p>
        </w:tc>
      </w:tr>
      <w:tr w:rsidR="00A72648" w14:paraId="1CF22063" w14:textId="77777777">
        <w:tc>
          <w:tcPr>
            <w:tcW w:w="2548" w:type="dxa"/>
            <w:tcBorders>
              <w:top w:val="nil"/>
              <w:left w:val="nil"/>
              <w:bottom w:val="nil"/>
              <w:right w:val="nil"/>
            </w:tcBorders>
            <w:shd w:val="clear" w:color="auto" w:fill="FFFFFF"/>
          </w:tcPr>
          <w:p w14:paraId="1CF2205F" w14:textId="77777777" w:rsidR="00A72648" w:rsidRDefault="00A72648">
            <w:pPr>
              <w:jc w:val="center"/>
              <w:rPr>
                <w:rFonts w:ascii="Times New Roman" w:hAnsi="Times New Roman" w:cs="Times New Roman"/>
                <w:color w:val="000000"/>
                <w:szCs w:val="21"/>
              </w:rPr>
            </w:pPr>
          </w:p>
        </w:tc>
        <w:tc>
          <w:tcPr>
            <w:tcW w:w="1591" w:type="dxa"/>
            <w:tcBorders>
              <w:top w:val="nil"/>
              <w:left w:val="nil"/>
              <w:bottom w:val="nil"/>
              <w:right w:val="nil"/>
            </w:tcBorders>
            <w:shd w:val="clear" w:color="auto" w:fill="FFFFFF"/>
          </w:tcPr>
          <w:p w14:paraId="1CF2206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RF</w:t>
            </w:r>
          </w:p>
        </w:tc>
        <w:tc>
          <w:tcPr>
            <w:tcW w:w="2131" w:type="dxa"/>
            <w:tcBorders>
              <w:top w:val="nil"/>
              <w:left w:val="nil"/>
              <w:bottom w:val="nil"/>
              <w:right w:val="nil"/>
            </w:tcBorders>
            <w:shd w:val="clear" w:color="auto" w:fill="FFFFFF"/>
          </w:tcPr>
          <w:p w14:paraId="1CF2206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0.3295</w:t>
            </w:r>
          </w:p>
        </w:tc>
        <w:tc>
          <w:tcPr>
            <w:tcW w:w="2029" w:type="dxa"/>
            <w:tcBorders>
              <w:top w:val="nil"/>
              <w:left w:val="nil"/>
              <w:bottom w:val="nil"/>
              <w:right w:val="nil"/>
            </w:tcBorders>
            <w:shd w:val="clear" w:color="auto" w:fill="FFFFFF"/>
          </w:tcPr>
          <w:p w14:paraId="1CF2206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0.8549</w:t>
            </w:r>
          </w:p>
        </w:tc>
      </w:tr>
      <w:tr w:rsidR="00A72648" w14:paraId="1CF22068" w14:textId="77777777">
        <w:tc>
          <w:tcPr>
            <w:tcW w:w="2548" w:type="dxa"/>
            <w:tcBorders>
              <w:top w:val="nil"/>
              <w:left w:val="nil"/>
              <w:bottom w:val="nil"/>
              <w:right w:val="nil"/>
            </w:tcBorders>
            <w:shd w:val="clear" w:color="auto" w:fill="FFFFFF"/>
          </w:tcPr>
          <w:p w14:paraId="1CF22064" w14:textId="77777777" w:rsidR="00A72648" w:rsidRDefault="00A72648">
            <w:pPr>
              <w:jc w:val="center"/>
              <w:rPr>
                <w:rFonts w:ascii="Times New Roman" w:hAnsi="Times New Roman" w:cs="Times New Roman"/>
                <w:color w:val="000000"/>
                <w:szCs w:val="21"/>
              </w:rPr>
            </w:pPr>
          </w:p>
        </w:tc>
        <w:tc>
          <w:tcPr>
            <w:tcW w:w="1591" w:type="dxa"/>
            <w:tcBorders>
              <w:top w:val="nil"/>
              <w:left w:val="nil"/>
              <w:bottom w:val="nil"/>
              <w:right w:val="nil"/>
            </w:tcBorders>
            <w:shd w:val="clear" w:color="auto" w:fill="FFFFFF"/>
          </w:tcPr>
          <w:p w14:paraId="1CF2206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GBM</w:t>
            </w:r>
          </w:p>
        </w:tc>
        <w:tc>
          <w:tcPr>
            <w:tcW w:w="2131" w:type="dxa"/>
            <w:tcBorders>
              <w:top w:val="nil"/>
              <w:left w:val="nil"/>
              <w:bottom w:val="nil"/>
              <w:right w:val="nil"/>
            </w:tcBorders>
            <w:shd w:val="clear" w:color="auto" w:fill="FFFFFF"/>
          </w:tcPr>
          <w:p w14:paraId="1CF2206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0.3533</w:t>
            </w:r>
          </w:p>
        </w:tc>
        <w:tc>
          <w:tcPr>
            <w:tcW w:w="2029" w:type="dxa"/>
            <w:tcBorders>
              <w:top w:val="nil"/>
              <w:left w:val="nil"/>
              <w:bottom w:val="nil"/>
              <w:right w:val="nil"/>
            </w:tcBorders>
            <w:shd w:val="clear" w:color="auto" w:fill="FFFFFF"/>
          </w:tcPr>
          <w:p w14:paraId="1CF2206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0.8331</w:t>
            </w:r>
          </w:p>
        </w:tc>
      </w:tr>
      <w:tr w:rsidR="00A72648" w14:paraId="1CF2206D" w14:textId="77777777">
        <w:tc>
          <w:tcPr>
            <w:tcW w:w="2548" w:type="dxa"/>
            <w:tcBorders>
              <w:top w:val="nil"/>
              <w:left w:val="nil"/>
              <w:bottom w:val="nil"/>
              <w:right w:val="nil"/>
            </w:tcBorders>
            <w:shd w:val="clear" w:color="auto" w:fill="FFFFFF"/>
          </w:tcPr>
          <w:p w14:paraId="1CF22069"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stock-w</w:t>
            </w:r>
            <w:r>
              <w:rPr>
                <w:rFonts w:ascii="Times New Roman" w:hAnsi="Times New Roman" w:cs="Times New Roman"/>
                <w:color w:val="000000"/>
                <w:szCs w:val="21"/>
              </w:rPr>
              <w:t>ide</w:t>
            </w:r>
          </w:p>
        </w:tc>
        <w:tc>
          <w:tcPr>
            <w:tcW w:w="1591" w:type="dxa"/>
            <w:tcBorders>
              <w:top w:val="nil"/>
              <w:left w:val="nil"/>
              <w:bottom w:val="nil"/>
              <w:right w:val="nil"/>
            </w:tcBorders>
            <w:shd w:val="clear" w:color="auto" w:fill="FFFFFF"/>
          </w:tcPr>
          <w:p w14:paraId="1CF2206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GAM</w:t>
            </w:r>
          </w:p>
        </w:tc>
        <w:tc>
          <w:tcPr>
            <w:tcW w:w="2131" w:type="dxa"/>
            <w:tcBorders>
              <w:top w:val="nil"/>
              <w:left w:val="nil"/>
              <w:bottom w:val="nil"/>
              <w:right w:val="nil"/>
            </w:tcBorders>
            <w:shd w:val="clear" w:color="auto" w:fill="FFFFFF"/>
          </w:tcPr>
          <w:p w14:paraId="1CF2206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0.7792</w:t>
            </w:r>
          </w:p>
        </w:tc>
        <w:tc>
          <w:tcPr>
            <w:tcW w:w="2029" w:type="dxa"/>
            <w:tcBorders>
              <w:top w:val="nil"/>
              <w:left w:val="nil"/>
              <w:bottom w:val="nil"/>
              <w:right w:val="nil"/>
            </w:tcBorders>
            <w:shd w:val="clear" w:color="auto" w:fill="FFFFFF"/>
          </w:tcPr>
          <w:p w14:paraId="1CF2206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0.3539</w:t>
            </w:r>
          </w:p>
        </w:tc>
      </w:tr>
      <w:tr w:rsidR="00A72648" w14:paraId="1CF22072" w14:textId="77777777">
        <w:trPr>
          <w:trHeight w:val="90"/>
        </w:trPr>
        <w:tc>
          <w:tcPr>
            <w:tcW w:w="2548" w:type="dxa"/>
            <w:tcBorders>
              <w:top w:val="nil"/>
              <w:left w:val="nil"/>
              <w:bottom w:val="nil"/>
              <w:right w:val="nil"/>
            </w:tcBorders>
            <w:shd w:val="clear" w:color="auto" w:fill="FFFFFF"/>
          </w:tcPr>
          <w:p w14:paraId="1CF2206E" w14:textId="77777777" w:rsidR="00A72648" w:rsidRDefault="00A72648">
            <w:pPr>
              <w:jc w:val="center"/>
              <w:rPr>
                <w:rFonts w:ascii="Times New Roman" w:hAnsi="Times New Roman" w:cs="Times New Roman"/>
                <w:color w:val="000000"/>
                <w:szCs w:val="21"/>
              </w:rPr>
            </w:pPr>
          </w:p>
        </w:tc>
        <w:tc>
          <w:tcPr>
            <w:tcW w:w="1591" w:type="dxa"/>
            <w:tcBorders>
              <w:top w:val="nil"/>
              <w:left w:val="nil"/>
              <w:bottom w:val="nil"/>
              <w:right w:val="nil"/>
            </w:tcBorders>
            <w:shd w:val="clear" w:color="auto" w:fill="FFFFFF"/>
          </w:tcPr>
          <w:p w14:paraId="1CF2206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RF</w:t>
            </w:r>
          </w:p>
        </w:tc>
        <w:tc>
          <w:tcPr>
            <w:tcW w:w="2131" w:type="dxa"/>
            <w:tcBorders>
              <w:top w:val="nil"/>
              <w:left w:val="nil"/>
              <w:bottom w:val="nil"/>
              <w:right w:val="nil"/>
            </w:tcBorders>
            <w:shd w:val="clear" w:color="auto" w:fill="FFFFFF"/>
          </w:tcPr>
          <w:p w14:paraId="1CF2207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0.3176</w:t>
            </w:r>
          </w:p>
        </w:tc>
        <w:tc>
          <w:tcPr>
            <w:tcW w:w="2029" w:type="dxa"/>
            <w:tcBorders>
              <w:top w:val="nil"/>
              <w:left w:val="nil"/>
              <w:bottom w:val="nil"/>
              <w:right w:val="nil"/>
            </w:tcBorders>
            <w:shd w:val="clear" w:color="auto" w:fill="FFFFFF"/>
          </w:tcPr>
          <w:p w14:paraId="1CF2207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0.8926</w:t>
            </w:r>
          </w:p>
        </w:tc>
      </w:tr>
      <w:tr w:rsidR="00A72648" w14:paraId="1CF22077" w14:textId="77777777">
        <w:trPr>
          <w:trHeight w:val="364"/>
        </w:trPr>
        <w:tc>
          <w:tcPr>
            <w:tcW w:w="2548" w:type="dxa"/>
            <w:tcBorders>
              <w:top w:val="nil"/>
              <w:left w:val="nil"/>
              <w:bottom w:val="single" w:sz="12" w:space="0" w:color="000000"/>
              <w:right w:val="nil"/>
            </w:tcBorders>
            <w:shd w:val="clear" w:color="auto" w:fill="FFFFFF"/>
          </w:tcPr>
          <w:p w14:paraId="1CF22073" w14:textId="77777777" w:rsidR="00A72648" w:rsidRDefault="00A72648">
            <w:pPr>
              <w:jc w:val="center"/>
              <w:rPr>
                <w:rFonts w:ascii="Times New Roman" w:hAnsi="Times New Roman" w:cs="Times New Roman"/>
                <w:color w:val="000000"/>
                <w:szCs w:val="21"/>
              </w:rPr>
            </w:pPr>
          </w:p>
        </w:tc>
        <w:tc>
          <w:tcPr>
            <w:tcW w:w="1591" w:type="dxa"/>
            <w:tcBorders>
              <w:top w:val="nil"/>
              <w:left w:val="nil"/>
              <w:bottom w:val="single" w:sz="12" w:space="0" w:color="000000"/>
              <w:right w:val="nil"/>
            </w:tcBorders>
            <w:shd w:val="clear" w:color="auto" w:fill="FFFFFF"/>
          </w:tcPr>
          <w:p w14:paraId="1CF2207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GBM</w:t>
            </w:r>
          </w:p>
        </w:tc>
        <w:tc>
          <w:tcPr>
            <w:tcW w:w="2131" w:type="dxa"/>
            <w:tcBorders>
              <w:top w:val="nil"/>
              <w:left w:val="nil"/>
              <w:bottom w:val="single" w:sz="12" w:space="0" w:color="000000"/>
              <w:right w:val="nil"/>
            </w:tcBorders>
            <w:shd w:val="clear" w:color="auto" w:fill="FFFFFF"/>
          </w:tcPr>
          <w:p w14:paraId="1CF2207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0.5776</w:t>
            </w:r>
          </w:p>
        </w:tc>
        <w:tc>
          <w:tcPr>
            <w:tcW w:w="2029" w:type="dxa"/>
            <w:tcBorders>
              <w:top w:val="nil"/>
              <w:left w:val="nil"/>
              <w:bottom w:val="single" w:sz="12" w:space="0" w:color="000000"/>
              <w:right w:val="nil"/>
            </w:tcBorders>
            <w:shd w:val="clear" w:color="auto" w:fill="FFFFFF"/>
          </w:tcPr>
          <w:p w14:paraId="1CF2207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0.6450</w:t>
            </w:r>
          </w:p>
        </w:tc>
      </w:tr>
    </w:tbl>
    <w:p w14:paraId="1CF22078" w14:textId="77777777" w:rsidR="00A72648" w:rsidRDefault="00A72648"/>
    <w:p w14:paraId="1CF22079" w14:textId="77777777" w:rsidR="00A72648" w:rsidRDefault="00A72648"/>
    <w:p w14:paraId="1CF2207A" w14:textId="77777777" w:rsidR="00A72648" w:rsidRDefault="00000000">
      <w:pP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4</w:t>
      </w:r>
      <w:r>
        <w:rPr>
          <w:rFonts w:ascii="Times New Roman" w:hAnsi="Times New Roman" w:cs="Times New Roman"/>
          <w:b/>
          <w:bCs/>
        </w:rPr>
        <w:t>.</w:t>
      </w:r>
      <w:r>
        <w:rPr>
          <w:rFonts w:ascii="Times New Roman" w:hAnsi="Times New Roman" w:cs="Times New Roman"/>
        </w:rPr>
        <w:t> </w:t>
      </w:r>
      <w:r>
        <w:rPr>
          <w:rFonts w:ascii="Times New Roman" w:hAnsi="Times New Roman" w:cs="Times New Roman"/>
          <w:szCs w:val="21"/>
        </w:rPr>
        <w:t>Standardized CPUE indices with uncertainty estimates for the winter-spring cohort of NFS based on GAM (2005-2024).</w:t>
      </w:r>
    </w:p>
    <w:tbl>
      <w:tblPr>
        <w:tblStyle w:val="TableGrid"/>
        <w:tblW w:w="0" w:type="auto"/>
        <w:tblInd w:w="130" w:type="dxa"/>
        <w:tblLook w:val="04A0" w:firstRow="1" w:lastRow="0" w:firstColumn="1" w:lastColumn="0" w:noHBand="0" w:noVBand="1"/>
      </w:tblPr>
      <w:tblGrid>
        <w:gridCol w:w="1206"/>
        <w:gridCol w:w="2060"/>
        <w:gridCol w:w="1540"/>
        <w:gridCol w:w="1670"/>
        <w:gridCol w:w="1750"/>
      </w:tblGrid>
      <w:tr w:rsidR="00A72648" w14:paraId="1CF22082" w14:textId="77777777">
        <w:trPr>
          <w:trHeight w:val="475"/>
        </w:trPr>
        <w:tc>
          <w:tcPr>
            <w:tcW w:w="1206" w:type="dxa"/>
            <w:tcBorders>
              <w:top w:val="single" w:sz="12" w:space="0" w:color="000000"/>
              <w:left w:val="nil"/>
              <w:bottom w:val="single" w:sz="4" w:space="0" w:color="000000"/>
              <w:right w:val="nil"/>
              <w:tl2br w:val="nil"/>
            </w:tcBorders>
            <w:shd w:val="clear" w:color="auto" w:fill="FFFFFF"/>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8"/>
            </w:tblGrid>
            <w:tr w:rsidR="00A72648" w14:paraId="1CF2207C" w14:textId="77777777">
              <w:trPr>
                <w:tblHeader/>
              </w:trPr>
              <w:tc>
                <w:tcPr>
                  <w:tcW w:w="838" w:type="dxa"/>
                  <w:tcBorders>
                    <w:top w:val="nil"/>
                  </w:tcBorders>
                  <w:shd w:val="clear" w:color="auto" w:fill="FFFFFF"/>
                  <w:tcMar>
                    <w:top w:w="120" w:type="dxa"/>
                    <w:left w:w="0" w:type="dxa"/>
                    <w:bottom w:w="120" w:type="dxa"/>
                    <w:right w:w="192" w:type="dxa"/>
                  </w:tcMar>
                  <w:vAlign w:val="center"/>
                </w:tcPr>
                <w:p w14:paraId="1CF2207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Year</w:t>
                  </w:r>
                </w:p>
              </w:tc>
            </w:tr>
          </w:tbl>
          <w:p w14:paraId="1CF2207D" w14:textId="77777777" w:rsidR="00A72648" w:rsidRDefault="00A72648">
            <w:pPr>
              <w:jc w:val="center"/>
              <w:rPr>
                <w:rFonts w:ascii="Times New Roman" w:hAnsi="Times New Roman" w:cs="Times New Roman"/>
                <w:color w:val="000000"/>
                <w:szCs w:val="21"/>
              </w:rPr>
            </w:pPr>
          </w:p>
        </w:tc>
        <w:tc>
          <w:tcPr>
            <w:tcW w:w="2060" w:type="dxa"/>
            <w:tcBorders>
              <w:top w:val="single" w:sz="12" w:space="0" w:color="000000"/>
              <w:left w:val="nil"/>
              <w:bottom w:val="single" w:sz="4" w:space="0" w:color="000000"/>
              <w:right w:val="nil"/>
            </w:tcBorders>
            <w:shd w:val="clear" w:color="auto" w:fill="FFFFFF"/>
            <w:vAlign w:val="center"/>
          </w:tcPr>
          <w:p w14:paraId="1CF2207E" w14:textId="77777777" w:rsidR="00A72648" w:rsidRDefault="00000000">
            <w:pPr>
              <w:jc w:val="center"/>
              <w:rPr>
                <w:rFonts w:ascii="Times New Roman" w:hAnsi="Times New Roman" w:cs="Times New Roman"/>
                <w:color w:val="000000"/>
              </w:rPr>
            </w:pPr>
            <w:r>
              <w:rPr>
                <w:rFonts w:ascii="Times New Roman" w:hAnsi="Times New Roman" w:cs="Times New Roman"/>
                <w:color w:val="000000"/>
              </w:rPr>
              <w:t>Standardized</w:t>
            </w:r>
            <w:r>
              <w:rPr>
                <w:rFonts w:ascii="Times New Roman" w:hAnsi="Times New Roman" w:cs="Times New Roman" w:hint="eastAsia"/>
                <w:color w:val="000000"/>
              </w:rPr>
              <w:t xml:space="preserve"> </w:t>
            </w:r>
            <w:r>
              <w:rPr>
                <w:rFonts w:ascii="Times New Roman" w:hAnsi="Times New Roman" w:cs="Times New Roman"/>
                <w:color w:val="000000"/>
              </w:rPr>
              <w:t>CPUE</w:t>
            </w:r>
          </w:p>
        </w:tc>
        <w:tc>
          <w:tcPr>
            <w:tcW w:w="1540" w:type="dxa"/>
            <w:tcBorders>
              <w:top w:val="single" w:sz="12" w:space="0" w:color="000000"/>
              <w:left w:val="nil"/>
              <w:bottom w:val="single" w:sz="4" w:space="0" w:color="000000"/>
              <w:right w:val="nil"/>
            </w:tcBorders>
            <w:shd w:val="clear" w:color="auto" w:fill="FFFFFF"/>
          </w:tcPr>
          <w:p w14:paraId="1CF2207F" w14:textId="77777777" w:rsidR="00A72648" w:rsidRDefault="00000000">
            <w:pPr>
              <w:spacing w:line="360" w:lineRule="auto"/>
              <w:jc w:val="center"/>
              <w:rPr>
                <w:rFonts w:ascii="Times New Roman" w:hAnsi="Times New Roman" w:cs="Times New Roman"/>
                <w:color w:val="000000"/>
                <w:szCs w:val="21"/>
              </w:rPr>
            </w:pPr>
            <w:r>
              <w:rPr>
                <w:rFonts w:ascii="Times New Roman" w:hAnsi="Times New Roman" w:cs="Times New Roman"/>
                <w:color w:val="000000"/>
                <w:szCs w:val="21"/>
              </w:rPr>
              <w:t>S</w:t>
            </w:r>
            <w:r>
              <w:rPr>
                <w:rFonts w:ascii="Times New Roman" w:hAnsi="Times New Roman" w:cs="Times New Roman" w:hint="eastAsia"/>
                <w:color w:val="000000"/>
                <w:szCs w:val="21"/>
              </w:rPr>
              <w:t>E</w:t>
            </w:r>
          </w:p>
        </w:tc>
        <w:tc>
          <w:tcPr>
            <w:tcW w:w="1670" w:type="dxa"/>
            <w:tcBorders>
              <w:top w:val="single" w:sz="12" w:space="0" w:color="000000"/>
              <w:left w:val="nil"/>
              <w:bottom w:val="single" w:sz="4" w:space="0" w:color="000000"/>
              <w:right w:val="nil"/>
            </w:tcBorders>
            <w:shd w:val="clear" w:color="auto" w:fill="FFFFFF"/>
          </w:tcPr>
          <w:p w14:paraId="1CF22080" w14:textId="77777777" w:rsidR="00A72648" w:rsidRDefault="00000000">
            <w:pPr>
              <w:spacing w:line="360" w:lineRule="auto"/>
              <w:jc w:val="center"/>
              <w:rPr>
                <w:rFonts w:ascii="Times New Roman" w:hAnsi="Times New Roman" w:cs="Times New Roman"/>
                <w:color w:val="000000"/>
                <w:szCs w:val="21"/>
              </w:rPr>
            </w:pPr>
            <w:proofErr w:type="gramStart"/>
            <w:r>
              <w:rPr>
                <w:rFonts w:ascii="Times New Roman" w:hAnsi="Times New Roman" w:cs="Times New Roman" w:hint="eastAsia"/>
                <w:color w:val="000000"/>
                <w:szCs w:val="21"/>
              </w:rPr>
              <w:t>CV(</w:t>
            </w:r>
            <w:proofErr w:type="gramEnd"/>
            <w:r>
              <w:rPr>
                <w:rFonts w:ascii="Times New Roman" w:hAnsi="Times New Roman" w:cs="Times New Roman" w:hint="eastAsia"/>
                <w:color w:val="000000"/>
                <w:szCs w:val="21"/>
              </w:rPr>
              <w:t>%)</w:t>
            </w:r>
          </w:p>
        </w:tc>
        <w:tc>
          <w:tcPr>
            <w:tcW w:w="1750" w:type="dxa"/>
            <w:tcBorders>
              <w:top w:val="single" w:sz="12" w:space="0" w:color="000000"/>
              <w:left w:val="nil"/>
              <w:bottom w:val="single" w:sz="4" w:space="0" w:color="000000"/>
              <w:right w:val="nil"/>
            </w:tcBorders>
            <w:shd w:val="clear" w:color="auto" w:fill="FFFFFF"/>
          </w:tcPr>
          <w:p w14:paraId="1CF22081" w14:textId="77777777" w:rsidR="00A72648" w:rsidRDefault="00000000">
            <w:pPr>
              <w:spacing w:line="360" w:lineRule="auto"/>
              <w:jc w:val="center"/>
              <w:rPr>
                <w:rFonts w:ascii="Times New Roman" w:hAnsi="Times New Roman" w:cs="Times New Roman"/>
                <w:color w:val="000000"/>
                <w:szCs w:val="21"/>
              </w:rPr>
            </w:pPr>
            <w:r>
              <w:rPr>
                <w:rFonts w:ascii="Times New Roman" w:hAnsi="Times New Roman" w:cs="Times New Roman" w:hint="eastAsia"/>
                <w:color w:val="000000"/>
                <w:szCs w:val="21"/>
              </w:rPr>
              <w:t>95%CI</w:t>
            </w:r>
          </w:p>
        </w:tc>
      </w:tr>
      <w:tr w:rsidR="00A72648" w14:paraId="1CF22088" w14:textId="77777777">
        <w:tc>
          <w:tcPr>
            <w:tcW w:w="1206" w:type="dxa"/>
            <w:tcBorders>
              <w:top w:val="single" w:sz="4" w:space="0" w:color="000000"/>
              <w:left w:val="nil"/>
              <w:bottom w:val="nil"/>
              <w:right w:val="nil"/>
            </w:tcBorders>
            <w:shd w:val="clear" w:color="auto" w:fill="FFFFFF"/>
          </w:tcPr>
          <w:p w14:paraId="1CF2208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2005</w:t>
            </w:r>
          </w:p>
        </w:tc>
        <w:tc>
          <w:tcPr>
            <w:tcW w:w="2060" w:type="dxa"/>
            <w:tcBorders>
              <w:top w:val="single" w:sz="4" w:space="0" w:color="000000"/>
              <w:left w:val="nil"/>
              <w:bottom w:val="nil"/>
              <w:right w:val="nil"/>
            </w:tcBorders>
            <w:shd w:val="clear" w:color="auto" w:fill="FFFFFF"/>
          </w:tcPr>
          <w:p w14:paraId="1CF22084"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7.47</w:t>
            </w:r>
          </w:p>
        </w:tc>
        <w:tc>
          <w:tcPr>
            <w:tcW w:w="1540" w:type="dxa"/>
            <w:tcBorders>
              <w:top w:val="single" w:sz="4" w:space="0" w:color="000000"/>
              <w:left w:val="nil"/>
              <w:bottom w:val="nil"/>
              <w:right w:val="nil"/>
            </w:tcBorders>
            <w:shd w:val="clear" w:color="auto" w:fill="FFFFFF"/>
          </w:tcPr>
          <w:p w14:paraId="1CF22085"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1.30</w:t>
            </w:r>
          </w:p>
        </w:tc>
        <w:tc>
          <w:tcPr>
            <w:tcW w:w="1670" w:type="dxa"/>
            <w:tcBorders>
              <w:top w:val="single" w:sz="4" w:space="0" w:color="000000"/>
              <w:left w:val="nil"/>
              <w:bottom w:val="nil"/>
              <w:right w:val="nil"/>
            </w:tcBorders>
            <w:shd w:val="clear" w:color="auto" w:fill="FFFFFF"/>
          </w:tcPr>
          <w:p w14:paraId="1CF22086"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17.46</w:t>
            </w:r>
          </w:p>
        </w:tc>
        <w:tc>
          <w:tcPr>
            <w:tcW w:w="1750" w:type="dxa"/>
            <w:tcBorders>
              <w:top w:val="single" w:sz="4" w:space="0" w:color="000000"/>
              <w:left w:val="nil"/>
              <w:bottom w:val="nil"/>
              <w:right w:val="nil"/>
            </w:tcBorders>
            <w:shd w:val="clear" w:color="auto" w:fill="FFFFFF"/>
          </w:tcPr>
          <w:p w14:paraId="1CF22087"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5.30-10.52</w:t>
            </w:r>
          </w:p>
        </w:tc>
      </w:tr>
      <w:tr w:rsidR="00A72648" w14:paraId="1CF2208E" w14:textId="77777777">
        <w:tc>
          <w:tcPr>
            <w:tcW w:w="1206" w:type="dxa"/>
            <w:tcBorders>
              <w:top w:val="nil"/>
              <w:left w:val="nil"/>
              <w:bottom w:val="nil"/>
              <w:right w:val="nil"/>
            </w:tcBorders>
            <w:shd w:val="clear" w:color="auto" w:fill="FFFFFF"/>
          </w:tcPr>
          <w:p w14:paraId="1CF2208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2006</w:t>
            </w:r>
          </w:p>
        </w:tc>
        <w:tc>
          <w:tcPr>
            <w:tcW w:w="2060" w:type="dxa"/>
            <w:tcBorders>
              <w:top w:val="nil"/>
              <w:left w:val="nil"/>
              <w:bottom w:val="nil"/>
              <w:right w:val="nil"/>
            </w:tcBorders>
            <w:shd w:val="clear" w:color="auto" w:fill="FFFFFF"/>
          </w:tcPr>
          <w:p w14:paraId="1CF2208A"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8.86</w:t>
            </w:r>
          </w:p>
        </w:tc>
        <w:tc>
          <w:tcPr>
            <w:tcW w:w="1540" w:type="dxa"/>
            <w:tcBorders>
              <w:top w:val="nil"/>
              <w:left w:val="nil"/>
              <w:bottom w:val="nil"/>
              <w:right w:val="nil"/>
            </w:tcBorders>
            <w:shd w:val="clear" w:color="auto" w:fill="FFFFFF"/>
          </w:tcPr>
          <w:p w14:paraId="1CF2208B"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1.63</w:t>
            </w:r>
          </w:p>
        </w:tc>
        <w:tc>
          <w:tcPr>
            <w:tcW w:w="1670" w:type="dxa"/>
            <w:tcBorders>
              <w:top w:val="nil"/>
              <w:left w:val="nil"/>
              <w:bottom w:val="nil"/>
              <w:right w:val="nil"/>
            </w:tcBorders>
            <w:shd w:val="clear" w:color="auto" w:fill="FFFFFF"/>
          </w:tcPr>
          <w:p w14:paraId="1CF2208C"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18.40</w:t>
            </w:r>
          </w:p>
        </w:tc>
        <w:tc>
          <w:tcPr>
            <w:tcW w:w="1750" w:type="dxa"/>
            <w:tcBorders>
              <w:top w:val="nil"/>
              <w:left w:val="nil"/>
              <w:bottom w:val="nil"/>
              <w:right w:val="nil"/>
            </w:tcBorders>
            <w:shd w:val="clear" w:color="auto" w:fill="FFFFFF"/>
          </w:tcPr>
          <w:p w14:paraId="1CF2208D"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6.18-12.71</w:t>
            </w:r>
          </w:p>
        </w:tc>
      </w:tr>
      <w:tr w:rsidR="00A72648" w14:paraId="1CF22094" w14:textId="77777777">
        <w:tc>
          <w:tcPr>
            <w:tcW w:w="1206" w:type="dxa"/>
            <w:tcBorders>
              <w:top w:val="nil"/>
              <w:left w:val="nil"/>
              <w:bottom w:val="nil"/>
              <w:right w:val="nil"/>
            </w:tcBorders>
            <w:shd w:val="clear" w:color="auto" w:fill="FFFFFF"/>
          </w:tcPr>
          <w:p w14:paraId="1CF2208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2007</w:t>
            </w:r>
          </w:p>
        </w:tc>
        <w:tc>
          <w:tcPr>
            <w:tcW w:w="2060" w:type="dxa"/>
            <w:tcBorders>
              <w:top w:val="nil"/>
              <w:left w:val="nil"/>
              <w:bottom w:val="nil"/>
              <w:right w:val="nil"/>
            </w:tcBorders>
            <w:shd w:val="clear" w:color="auto" w:fill="FFFFFF"/>
          </w:tcPr>
          <w:p w14:paraId="1CF22090"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8.56</w:t>
            </w:r>
          </w:p>
        </w:tc>
        <w:tc>
          <w:tcPr>
            <w:tcW w:w="1540" w:type="dxa"/>
            <w:tcBorders>
              <w:top w:val="nil"/>
              <w:left w:val="nil"/>
              <w:bottom w:val="nil"/>
              <w:right w:val="nil"/>
            </w:tcBorders>
            <w:shd w:val="clear" w:color="auto" w:fill="FFFFFF"/>
          </w:tcPr>
          <w:p w14:paraId="1CF22091"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1.64</w:t>
            </w:r>
          </w:p>
        </w:tc>
        <w:tc>
          <w:tcPr>
            <w:tcW w:w="1670" w:type="dxa"/>
            <w:tcBorders>
              <w:top w:val="nil"/>
              <w:left w:val="nil"/>
              <w:bottom w:val="nil"/>
              <w:right w:val="nil"/>
            </w:tcBorders>
            <w:shd w:val="clear" w:color="auto" w:fill="FFFFFF"/>
          </w:tcPr>
          <w:p w14:paraId="1CF22092"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19.10</w:t>
            </w:r>
          </w:p>
        </w:tc>
        <w:tc>
          <w:tcPr>
            <w:tcW w:w="1750" w:type="dxa"/>
            <w:tcBorders>
              <w:top w:val="nil"/>
              <w:left w:val="nil"/>
              <w:bottom w:val="nil"/>
              <w:right w:val="nil"/>
            </w:tcBorders>
            <w:shd w:val="clear" w:color="auto" w:fill="FFFFFF"/>
          </w:tcPr>
          <w:p w14:paraId="1CF22093"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5.89-12.45</w:t>
            </w:r>
          </w:p>
        </w:tc>
      </w:tr>
      <w:tr w:rsidR="00A72648" w14:paraId="1CF2209A" w14:textId="77777777">
        <w:tc>
          <w:tcPr>
            <w:tcW w:w="1206" w:type="dxa"/>
            <w:tcBorders>
              <w:top w:val="nil"/>
              <w:left w:val="nil"/>
              <w:bottom w:val="nil"/>
              <w:right w:val="nil"/>
            </w:tcBorders>
            <w:shd w:val="clear" w:color="auto" w:fill="FFFFFF"/>
          </w:tcPr>
          <w:p w14:paraId="1CF2209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2008</w:t>
            </w:r>
          </w:p>
        </w:tc>
        <w:tc>
          <w:tcPr>
            <w:tcW w:w="2060" w:type="dxa"/>
            <w:tcBorders>
              <w:top w:val="nil"/>
              <w:left w:val="nil"/>
              <w:bottom w:val="nil"/>
              <w:right w:val="nil"/>
            </w:tcBorders>
            <w:shd w:val="clear" w:color="auto" w:fill="FFFFFF"/>
          </w:tcPr>
          <w:p w14:paraId="1CF22096"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2.70</w:t>
            </w:r>
          </w:p>
        </w:tc>
        <w:tc>
          <w:tcPr>
            <w:tcW w:w="1540" w:type="dxa"/>
            <w:tcBorders>
              <w:top w:val="nil"/>
              <w:left w:val="nil"/>
              <w:bottom w:val="nil"/>
              <w:right w:val="nil"/>
            </w:tcBorders>
            <w:shd w:val="clear" w:color="auto" w:fill="FFFFFF"/>
          </w:tcPr>
          <w:p w14:paraId="1CF22097"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0.47</w:t>
            </w:r>
          </w:p>
        </w:tc>
        <w:tc>
          <w:tcPr>
            <w:tcW w:w="1670" w:type="dxa"/>
            <w:tcBorders>
              <w:top w:val="nil"/>
              <w:left w:val="nil"/>
              <w:bottom w:val="nil"/>
              <w:right w:val="nil"/>
            </w:tcBorders>
            <w:shd w:val="clear" w:color="auto" w:fill="FFFFFF"/>
          </w:tcPr>
          <w:p w14:paraId="1CF22098"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17.26</w:t>
            </w:r>
          </w:p>
        </w:tc>
        <w:tc>
          <w:tcPr>
            <w:tcW w:w="1750" w:type="dxa"/>
            <w:tcBorders>
              <w:top w:val="nil"/>
              <w:left w:val="nil"/>
              <w:bottom w:val="nil"/>
              <w:right w:val="nil"/>
            </w:tcBorders>
            <w:shd w:val="clear" w:color="auto" w:fill="FFFFFF"/>
          </w:tcPr>
          <w:p w14:paraId="1CF22099"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1.92-3.78</w:t>
            </w:r>
          </w:p>
        </w:tc>
      </w:tr>
      <w:tr w:rsidR="00A72648" w14:paraId="1CF220A0" w14:textId="77777777">
        <w:tc>
          <w:tcPr>
            <w:tcW w:w="1206" w:type="dxa"/>
            <w:tcBorders>
              <w:top w:val="nil"/>
              <w:left w:val="nil"/>
              <w:bottom w:val="nil"/>
              <w:right w:val="nil"/>
            </w:tcBorders>
            <w:shd w:val="clear" w:color="auto" w:fill="FFFFFF"/>
          </w:tcPr>
          <w:p w14:paraId="1CF2209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2009</w:t>
            </w:r>
          </w:p>
        </w:tc>
        <w:tc>
          <w:tcPr>
            <w:tcW w:w="2060" w:type="dxa"/>
            <w:tcBorders>
              <w:top w:val="nil"/>
              <w:left w:val="nil"/>
              <w:bottom w:val="nil"/>
              <w:right w:val="nil"/>
            </w:tcBorders>
            <w:shd w:val="clear" w:color="auto" w:fill="FFFFFF"/>
          </w:tcPr>
          <w:p w14:paraId="1CF2209C"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1.40</w:t>
            </w:r>
          </w:p>
        </w:tc>
        <w:tc>
          <w:tcPr>
            <w:tcW w:w="1540" w:type="dxa"/>
            <w:tcBorders>
              <w:top w:val="nil"/>
              <w:left w:val="nil"/>
              <w:bottom w:val="nil"/>
              <w:right w:val="nil"/>
            </w:tcBorders>
            <w:shd w:val="clear" w:color="auto" w:fill="FFFFFF"/>
          </w:tcPr>
          <w:p w14:paraId="1CF2209D"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0.25</w:t>
            </w:r>
          </w:p>
        </w:tc>
        <w:tc>
          <w:tcPr>
            <w:tcW w:w="1670" w:type="dxa"/>
            <w:tcBorders>
              <w:top w:val="nil"/>
              <w:left w:val="nil"/>
              <w:bottom w:val="nil"/>
              <w:right w:val="nil"/>
            </w:tcBorders>
            <w:shd w:val="clear" w:color="auto" w:fill="FFFFFF"/>
          </w:tcPr>
          <w:p w14:paraId="1CF2209E"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17.71</w:t>
            </w:r>
          </w:p>
        </w:tc>
        <w:tc>
          <w:tcPr>
            <w:tcW w:w="1750" w:type="dxa"/>
            <w:tcBorders>
              <w:top w:val="nil"/>
              <w:left w:val="nil"/>
              <w:bottom w:val="nil"/>
              <w:right w:val="nil"/>
            </w:tcBorders>
            <w:shd w:val="clear" w:color="auto" w:fill="FFFFFF"/>
          </w:tcPr>
          <w:p w14:paraId="1CF2209F"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0.99-1.98</w:t>
            </w:r>
          </w:p>
        </w:tc>
      </w:tr>
      <w:tr w:rsidR="00A72648" w14:paraId="1CF220A6" w14:textId="77777777">
        <w:tc>
          <w:tcPr>
            <w:tcW w:w="1206" w:type="dxa"/>
            <w:tcBorders>
              <w:top w:val="nil"/>
              <w:left w:val="nil"/>
              <w:bottom w:val="nil"/>
              <w:right w:val="nil"/>
            </w:tcBorders>
            <w:shd w:val="clear" w:color="auto" w:fill="FFFFFF"/>
          </w:tcPr>
          <w:p w14:paraId="1CF220A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2010</w:t>
            </w:r>
          </w:p>
        </w:tc>
        <w:tc>
          <w:tcPr>
            <w:tcW w:w="2060" w:type="dxa"/>
            <w:tcBorders>
              <w:top w:val="nil"/>
              <w:left w:val="nil"/>
              <w:bottom w:val="nil"/>
              <w:right w:val="nil"/>
            </w:tcBorders>
            <w:shd w:val="clear" w:color="auto" w:fill="FFFFFF"/>
          </w:tcPr>
          <w:p w14:paraId="1CF220A2"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1.71</w:t>
            </w:r>
          </w:p>
        </w:tc>
        <w:tc>
          <w:tcPr>
            <w:tcW w:w="1540" w:type="dxa"/>
            <w:tcBorders>
              <w:top w:val="nil"/>
              <w:left w:val="nil"/>
              <w:bottom w:val="nil"/>
              <w:right w:val="nil"/>
            </w:tcBorders>
            <w:shd w:val="clear" w:color="auto" w:fill="FFFFFF"/>
          </w:tcPr>
          <w:p w14:paraId="1CF220A3"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0.27</w:t>
            </w:r>
          </w:p>
        </w:tc>
        <w:tc>
          <w:tcPr>
            <w:tcW w:w="1670" w:type="dxa"/>
            <w:tcBorders>
              <w:top w:val="nil"/>
              <w:left w:val="nil"/>
              <w:bottom w:val="nil"/>
              <w:right w:val="nil"/>
            </w:tcBorders>
            <w:shd w:val="clear" w:color="auto" w:fill="FFFFFF"/>
          </w:tcPr>
          <w:p w14:paraId="1CF220A4"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15.67</w:t>
            </w:r>
          </w:p>
        </w:tc>
        <w:tc>
          <w:tcPr>
            <w:tcW w:w="1750" w:type="dxa"/>
            <w:tcBorders>
              <w:top w:val="nil"/>
              <w:left w:val="nil"/>
              <w:bottom w:val="nil"/>
              <w:right w:val="nil"/>
            </w:tcBorders>
            <w:shd w:val="clear" w:color="auto" w:fill="FFFFFF"/>
          </w:tcPr>
          <w:p w14:paraId="1CF220A5"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1.26-2.33</w:t>
            </w:r>
          </w:p>
        </w:tc>
      </w:tr>
      <w:tr w:rsidR="00A72648" w14:paraId="1CF220AC" w14:textId="77777777">
        <w:tc>
          <w:tcPr>
            <w:tcW w:w="1206" w:type="dxa"/>
            <w:tcBorders>
              <w:top w:val="nil"/>
              <w:left w:val="nil"/>
              <w:bottom w:val="nil"/>
              <w:right w:val="nil"/>
            </w:tcBorders>
            <w:shd w:val="clear" w:color="auto" w:fill="FFFFFF"/>
          </w:tcPr>
          <w:p w14:paraId="1CF220A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2011</w:t>
            </w:r>
          </w:p>
        </w:tc>
        <w:tc>
          <w:tcPr>
            <w:tcW w:w="2060" w:type="dxa"/>
            <w:tcBorders>
              <w:top w:val="nil"/>
              <w:left w:val="nil"/>
              <w:bottom w:val="nil"/>
              <w:right w:val="nil"/>
            </w:tcBorders>
            <w:shd w:val="clear" w:color="auto" w:fill="FFFFFF"/>
          </w:tcPr>
          <w:p w14:paraId="1CF220A8"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2.75</w:t>
            </w:r>
          </w:p>
        </w:tc>
        <w:tc>
          <w:tcPr>
            <w:tcW w:w="1540" w:type="dxa"/>
            <w:tcBorders>
              <w:top w:val="nil"/>
              <w:left w:val="nil"/>
              <w:bottom w:val="nil"/>
              <w:right w:val="nil"/>
            </w:tcBorders>
            <w:shd w:val="clear" w:color="auto" w:fill="FFFFFF"/>
          </w:tcPr>
          <w:p w14:paraId="1CF220A9"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0.44</w:t>
            </w:r>
          </w:p>
        </w:tc>
        <w:tc>
          <w:tcPr>
            <w:tcW w:w="1670" w:type="dxa"/>
            <w:tcBorders>
              <w:top w:val="nil"/>
              <w:left w:val="nil"/>
              <w:bottom w:val="nil"/>
              <w:right w:val="nil"/>
            </w:tcBorders>
            <w:shd w:val="clear" w:color="auto" w:fill="FFFFFF"/>
          </w:tcPr>
          <w:p w14:paraId="1CF220AA"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15.89</w:t>
            </w:r>
          </w:p>
        </w:tc>
        <w:tc>
          <w:tcPr>
            <w:tcW w:w="1750" w:type="dxa"/>
            <w:tcBorders>
              <w:top w:val="nil"/>
              <w:left w:val="nil"/>
              <w:bottom w:val="nil"/>
              <w:right w:val="nil"/>
            </w:tcBorders>
            <w:shd w:val="clear" w:color="auto" w:fill="FFFFFF"/>
          </w:tcPr>
          <w:p w14:paraId="1CF220AB"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2.01-3.75</w:t>
            </w:r>
          </w:p>
        </w:tc>
      </w:tr>
      <w:tr w:rsidR="00A72648" w14:paraId="1CF220B2" w14:textId="77777777">
        <w:tc>
          <w:tcPr>
            <w:tcW w:w="1206" w:type="dxa"/>
            <w:tcBorders>
              <w:top w:val="nil"/>
              <w:left w:val="nil"/>
              <w:bottom w:val="nil"/>
              <w:right w:val="nil"/>
            </w:tcBorders>
            <w:shd w:val="clear" w:color="auto" w:fill="FFFFFF"/>
          </w:tcPr>
          <w:p w14:paraId="1CF220A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2012</w:t>
            </w:r>
          </w:p>
        </w:tc>
        <w:tc>
          <w:tcPr>
            <w:tcW w:w="2060" w:type="dxa"/>
            <w:tcBorders>
              <w:top w:val="nil"/>
              <w:left w:val="nil"/>
              <w:bottom w:val="nil"/>
              <w:right w:val="nil"/>
            </w:tcBorders>
            <w:shd w:val="clear" w:color="auto" w:fill="FFFFFF"/>
          </w:tcPr>
          <w:p w14:paraId="1CF220AE"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1.54</w:t>
            </w:r>
          </w:p>
        </w:tc>
        <w:tc>
          <w:tcPr>
            <w:tcW w:w="1540" w:type="dxa"/>
            <w:tcBorders>
              <w:top w:val="nil"/>
              <w:left w:val="nil"/>
              <w:bottom w:val="nil"/>
              <w:right w:val="nil"/>
            </w:tcBorders>
            <w:shd w:val="clear" w:color="auto" w:fill="FFFFFF"/>
          </w:tcPr>
          <w:p w14:paraId="1CF220AF"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0.25</w:t>
            </w:r>
          </w:p>
        </w:tc>
        <w:tc>
          <w:tcPr>
            <w:tcW w:w="1670" w:type="dxa"/>
            <w:tcBorders>
              <w:top w:val="nil"/>
              <w:left w:val="nil"/>
              <w:bottom w:val="nil"/>
              <w:right w:val="nil"/>
            </w:tcBorders>
            <w:shd w:val="clear" w:color="auto" w:fill="FFFFFF"/>
          </w:tcPr>
          <w:p w14:paraId="1CF220B0"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16.16</w:t>
            </w:r>
          </w:p>
        </w:tc>
        <w:tc>
          <w:tcPr>
            <w:tcW w:w="1750" w:type="dxa"/>
            <w:tcBorders>
              <w:top w:val="nil"/>
              <w:left w:val="nil"/>
              <w:bottom w:val="nil"/>
              <w:right w:val="nil"/>
            </w:tcBorders>
            <w:shd w:val="clear" w:color="auto" w:fill="FFFFFF"/>
          </w:tcPr>
          <w:p w14:paraId="1CF220B1"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1.12-2.11</w:t>
            </w:r>
          </w:p>
        </w:tc>
      </w:tr>
      <w:tr w:rsidR="00A72648" w14:paraId="1CF220B8" w14:textId="77777777">
        <w:tc>
          <w:tcPr>
            <w:tcW w:w="1206" w:type="dxa"/>
            <w:tcBorders>
              <w:top w:val="nil"/>
              <w:left w:val="nil"/>
              <w:bottom w:val="nil"/>
              <w:right w:val="nil"/>
            </w:tcBorders>
            <w:shd w:val="clear" w:color="auto" w:fill="FFFFFF"/>
          </w:tcPr>
          <w:p w14:paraId="1CF220B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2013</w:t>
            </w:r>
          </w:p>
        </w:tc>
        <w:tc>
          <w:tcPr>
            <w:tcW w:w="2060" w:type="dxa"/>
            <w:tcBorders>
              <w:top w:val="nil"/>
              <w:left w:val="nil"/>
              <w:bottom w:val="nil"/>
              <w:right w:val="nil"/>
            </w:tcBorders>
            <w:shd w:val="clear" w:color="auto" w:fill="FFFFFF"/>
          </w:tcPr>
          <w:p w14:paraId="1CF220B4"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2.00</w:t>
            </w:r>
          </w:p>
        </w:tc>
        <w:tc>
          <w:tcPr>
            <w:tcW w:w="1540" w:type="dxa"/>
            <w:tcBorders>
              <w:top w:val="nil"/>
              <w:left w:val="nil"/>
              <w:bottom w:val="nil"/>
              <w:right w:val="nil"/>
            </w:tcBorders>
            <w:shd w:val="clear" w:color="auto" w:fill="FFFFFF"/>
          </w:tcPr>
          <w:p w14:paraId="1CF220B5"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0.32</w:t>
            </w:r>
          </w:p>
        </w:tc>
        <w:tc>
          <w:tcPr>
            <w:tcW w:w="1670" w:type="dxa"/>
            <w:tcBorders>
              <w:top w:val="nil"/>
              <w:left w:val="nil"/>
              <w:bottom w:val="nil"/>
              <w:right w:val="nil"/>
            </w:tcBorders>
            <w:shd w:val="clear" w:color="auto" w:fill="FFFFFF"/>
          </w:tcPr>
          <w:p w14:paraId="1CF220B6"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16.18</w:t>
            </w:r>
          </w:p>
        </w:tc>
        <w:tc>
          <w:tcPr>
            <w:tcW w:w="1750" w:type="dxa"/>
            <w:tcBorders>
              <w:top w:val="nil"/>
              <w:left w:val="nil"/>
              <w:bottom w:val="nil"/>
              <w:right w:val="nil"/>
            </w:tcBorders>
            <w:shd w:val="clear" w:color="auto" w:fill="FFFFFF"/>
          </w:tcPr>
          <w:p w14:paraId="1CF220B7"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1.44-2.71</w:t>
            </w:r>
          </w:p>
        </w:tc>
      </w:tr>
      <w:tr w:rsidR="00A72648" w14:paraId="1CF220BE" w14:textId="77777777">
        <w:tc>
          <w:tcPr>
            <w:tcW w:w="1206" w:type="dxa"/>
            <w:tcBorders>
              <w:top w:val="nil"/>
              <w:left w:val="nil"/>
              <w:bottom w:val="nil"/>
              <w:right w:val="nil"/>
            </w:tcBorders>
            <w:shd w:val="clear" w:color="auto" w:fill="FFFFFF"/>
          </w:tcPr>
          <w:p w14:paraId="1CF220B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2014</w:t>
            </w:r>
          </w:p>
        </w:tc>
        <w:tc>
          <w:tcPr>
            <w:tcW w:w="2060" w:type="dxa"/>
            <w:tcBorders>
              <w:top w:val="nil"/>
              <w:left w:val="nil"/>
              <w:bottom w:val="nil"/>
              <w:right w:val="nil"/>
            </w:tcBorders>
            <w:shd w:val="clear" w:color="auto" w:fill="FFFFFF"/>
          </w:tcPr>
          <w:p w14:paraId="1CF220BA"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1.54</w:t>
            </w:r>
          </w:p>
        </w:tc>
        <w:tc>
          <w:tcPr>
            <w:tcW w:w="1540" w:type="dxa"/>
            <w:tcBorders>
              <w:top w:val="nil"/>
              <w:left w:val="nil"/>
              <w:bottom w:val="nil"/>
              <w:right w:val="nil"/>
            </w:tcBorders>
            <w:shd w:val="clear" w:color="auto" w:fill="FFFFFF"/>
          </w:tcPr>
          <w:p w14:paraId="1CF220BB"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0.25</w:t>
            </w:r>
          </w:p>
        </w:tc>
        <w:tc>
          <w:tcPr>
            <w:tcW w:w="1670" w:type="dxa"/>
            <w:tcBorders>
              <w:top w:val="nil"/>
              <w:left w:val="nil"/>
              <w:bottom w:val="nil"/>
              <w:right w:val="nil"/>
            </w:tcBorders>
            <w:shd w:val="clear" w:color="auto" w:fill="FFFFFF"/>
          </w:tcPr>
          <w:p w14:paraId="1CF220BC"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16.21</w:t>
            </w:r>
          </w:p>
        </w:tc>
        <w:tc>
          <w:tcPr>
            <w:tcW w:w="1750" w:type="dxa"/>
            <w:tcBorders>
              <w:top w:val="nil"/>
              <w:left w:val="nil"/>
              <w:bottom w:val="nil"/>
              <w:right w:val="nil"/>
            </w:tcBorders>
            <w:shd w:val="clear" w:color="auto" w:fill="FFFFFF"/>
          </w:tcPr>
          <w:p w14:paraId="1CF220BD"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1.12-2.12</w:t>
            </w:r>
          </w:p>
        </w:tc>
      </w:tr>
      <w:tr w:rsidR="00A72648" w14:paraId="1CF220C4" w14:textId="77777777">
        <w:tc>
          <w:tcPr>
            <w:tcW w:w="1206" w:type="dxa"/>
            <w:tcBorders>
              <w:top w:val="nil"/>
              <w:left w:val="nil"/>
              <w:bottom w:val="nil"/>
              <w:right w:val="nil"/>
            </w:tcBorders>
            <w:shd w:val="clear" w:color="auto" w:fill="FFFFFF"/>
          </w:tcPr>
          <w:p w14:paraId="1CF220B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2015</w:t>
            </w:r>
          </w:p>
        </w:tc>
        <w:tc>
          <w:tcPr>
            <w:tcW w:w="2060" w:type="dxa"/>
            <w:tcBorders>
              <w:top w:val="nil"/>
              <w:left w:val="nil"/>
              <w:bottom w:val="nil"/>
              <w:right w:val="nil"/>
            </w:tcBorders>
            <w:shd w:val="clear" w:color="auto" w:fill="FFFFFF"/>
          </w:tcPr>
          <w:p w14:paraId="1CF220C0"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2.04</w:t>
            </w:r>
          </w:p>
        </w:tc>
        <w:tc>
          <w:tcPr>
            <w:tcW w:w="1540" w:type="dxa"/>
            <w:tcBorders>
              <w:top w:val="nil"/>
              <w:left w:val="nil"/>
              <w:bottom w:val="nil"/>
              <w:right w:val="nil"/>
            </w:tcBorders>
            <w:shd w:val="clear" w:color="auto" w:fill="FFFFFF"/>
          </w:tcPr>
          <w:p w14:paraId="1CF220C1"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0.34</w:t>
            </w:r>
          </w:p>
        </w:tc>
        <w:tc>
          <w:tcPr>
            <w:tcW w:w="1670" w:type="dxa"/>
            <w:tcBorders>
              <w:top w:val="nil"/>
              <w:left w:val="nil"/>
              <w:bottom w:val="nil"/>
              <w:right w:val="nil"/>
            </w:tcBorders>
            <w:shd w:val="clear" w:color="auto" w:fill="FFFFFF"/>
          </w:tcPr>
          <w:p w14:paraId="1CF220C2"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16.76</w:t>
            </w:r>
          </w:p>
        </w:tc>
        <w:tc>
          <w:tcPr>
            <w:tcW w:w="1750" w:type="dxa"/>
            <w:tcBorders>
              <w:top w:val="nil"/>
              <w:left w:val="nil"/>
              <w:bottom w:val="nil"/>
              <w:right w:val="nil"/>
            </w:tcBorders>
            <w:shd w:val="clear" w:color="auto" w:fill="FFFFFF"/>
          </w:tcPr>
          <w:p w14:paraId="1CF220C3"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1.47-2.84</w:t>
            </w:r>
          </w:p>
        </w:tc>
      </w:tr>
      <w:tr w:rsidR="00A72648" w14:paraId="1CF220CA" w14:textId="77777777">
        <w:tc>
          <w:tcPr>
            <w:tcW w:w="1206" w:type="dxa"/>
            <w:tcBorders>
              <w:top w:val="nil"/>
              <w:left w:val="nil"/>
              <w:bottom w:val="nil"/>
              <w:right w:val="nil"/>
            </w:tcBorders>
            <w:shd w:val="clear" w:color="auto" w:fill="FFFFFF"/>
          </w:tcPr>
          <w:p w14:paraId="1CF220C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2016</w:t>
            </w:r>
          </w:p>
        </w:tc>
        <w:tc>
          <w:tcPr>
            <w:tcW w:w="2060" w:type="dxa"/>
            <w:tcBorders>
              <w:top w:val="nil"/>
              <w:left w:val="nil"/>
              <w:bottom w:val="nil"/>
              <w:right w:val="nil"/>
            </w:tcBorders>
            <w:shd w:val="clear" w:color="auto" w:fill="FFFFFF"/>
          </w:tcPr>
          <w:p w14:paraId="1CF220C6"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1.89</w:t>
            </w:r>
          </w:p>
        </w:tc>
        <w:tc>
          <w:tcPr>
            <w:tcW w:w="1540" w:type="dxa"/>
            <w:tcBorders>
              <w:top w:val="nil"/>
              <w:left w:val="nil"/>
              <w:bottom w:val="nil"/>
              <w:right w:val="nil"/>
            </w:tcBorders>
            <w:shd w:val="clear" w:color="auto" w:fill="FFFFFF"/>
          </w:tcPr>
          <w:p w14:paraId="1CF220C7"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0.30</w:t>
            </w:r>
          </w:p>
        </w:tc>
        <w:tc>
          <w:tcPr>
            <w:tcW w:w="1670" w:type="dxa"/>
            <w:tcBorders>
              <w:top w:val="nil"/>
              <w:left w:val="nil"/>
              <w:bottom w:val="nil"/>
              <w:right w:val="nil"/>
            </w:tcBorders>
            <w:shd w:val="clear" w:color="auto" w:fill="FFFFFF"/>
          </w:tcPr>
          <w:p w14:paraId="1CF220C8"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16.11</w:t>
            </w:r>
          </w:p>
        </w:tc>
        <w:tc>
          <w:tcPr>
            <w:tcW w:w="1750" w:type="dxa"/>
            <w:tcBorders>
              <w:top w:val="nil"/>
              <w:left w:val="nil"/>
              <w:bottom w:val="nil"/>
              <w:right w:val="nil"/>
            </w:tcBorders>
            <w:shd w:val="clear" w:color="auto" w:fill="FFFFFF"/>
          </w:tcPr>
          <w:p w14:paraId="1CF220C9"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1.38-2.59</w:t>
            </w:r>
          </w:p>
        </w:tc>
      </w:tr>
      <w:tr w:rsidR="00A72648" w14:paraId="1CF220D0" w14:textId="77777777">
        <w:tc>
          <w:tcPr>
            <w:tcW w:w="1206" w:type="dxa"/>
            <w:tcBorders>
              <w:top w:val="nil"/>
              <w:left w:val="nil"/>
              <w:bottom w:val="nil"/>
              <w:right w:val="nil"/>
            </w:tcBorders>
            <w:shd w:val="clear" w:color="auto" w:fill="FFFFFF"/>
          </w:tcPr>
          <w:p w14:paraId="1CF220C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2017</w:t>
            </w:r>
          </w:p>
        </w:tc>
        <w:tc>
          <w:tcPr>
            <w:tcW w:w="2060" w:type="dxa"/>
            <w:tcBorders>
              <w:top w:val="nil"/>
              <w:left w:val="nil"/>
              <w:bottom w:val="nil"/>
              <w:right w:val="nil"/>
            </w:tcBorders>
            <w:shd w:val="clear" w:color="auto" w:fill="FFFFFF"/>
          </w:tcPr>
          <w:p w14:paraId="1CF220CC"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1.58</w:t>
            </w:r>
          </w:p>
        </w:tc>
        <w:tc>
          <w:tcPr>
            <w:tcW w:w="1540" w:type="dxa"/>
            <w:tcBorders>
              <w:top w:val="nil"/>
              <w:left w:val="nil"/>
              <w:bottom w:val="nil"/>
              <w:right w:val="nil"/>
            </w:tcBorders>
            <w:shd w:val="clear" w:color="auto" w:fill="FFFFFF"/>
          </w:tcPr>
          <w:p w14:paraId="1CF220CD"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0.25</w:t>
            </w:r>
          </w:p>
        </w:tc>
        <w:tc>
          <w:tcPr>
            <w:tcW w:w="1670" w:type="dxa"/>
            <w:tcBorders>
              <w:top w:val="nil"/>
              <w:left w:val="nil"/>
              <w:bottom w:val="nil"/>
              <w:right w:val="nil"/>
            </w:tcBorders>
            <w:shd w:val="clear" w:color="auto" w:fill="FFFFFF"/>
          </w:tcPr>
          <w:p w14:paraId="1CF220CE"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16.13</w:t>
            </w:r>
          </w:p>
        </w:tc>
        <w:tc>
          <w:tcPr>
            <w:tcW w:w="1750" w:type="dxa"/>
            <w:tcBorders>
              <w:top w:val="nil"/>
              <w:left w:val="nil"/>
              <w:bottom w:val="nil"/>
              <w:right w:val="nil"/>
            </w:tcBorders>
            <w:shd w:val="clear" w:color="auto" w:fill="FFFFFF"/>
          </w:tcPr>
          <w:p w14:paraId="1CF220CF"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1.15-2.17</w:t>
            </w:r>
          </w:p>
        </w:tc>
      </w:tr>
      <w:tr w:rsidR="00A72648" w14:paraId="1CF220D6" w14:textId="77777777">
        <w:tc>
          <w:tcPr>
            <w:tcW w:w="1206" w:type="dxa"/>
            <w:tcBorders>
              <w:top w:val="nil"/>
              <w:left w:val="nil"/>
              <w:bottom w:val="nil"/>
              <w:right w:val="nil"/>
            </w:tcBorders>
            <w:shd w:val="clear" w:color="auto" w:fill="FFFFFF"/>
          </w:tcPr>
          <w:p w14:paraId="1CF220D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2018</w:t>
            </w:r>
          </w:p>
        </w:tc>
        <w:tc>
          <w:tcPr>
            <w:tcW w:w="2060" w:type="dxa"/>
            <w:tcBorders>
              <w:top w:val="nil"/>
              <w:left w:val="nil"/>
              <w:bottom w:val="nil"/>
              <w:right w:val="nil"/>
            </w:tcBorders>
            <w:shd w:val="clear" w:color="auto" w:fill="FFFFFF"/>
          </w:tcPr>
          <w:p w14:paraId="1CF220D2"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1.93</w:t>
            </w:r>
          </w:p>
        </w:tc>
        <w:tc>
          <w:tcPr>
            <w:tcW w:w="1540" w:type="dxa"/>
            <w:tcBorders>
              <w:top w:val="nil"/>
              <w:left w:val="nil"/>
              <w:bottom w:val="nil"/>
              <w:right w:val="nil"/>
            </w:tcBorders>
            <w:shd w:val="clear" w:color="auto" w:fill="FFFFFF"/>
          </w:tcPr>
          <w:p w14:paraId="1CF220D3"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0.30</w:t>
            </w:r>
          </w:p>
        </w:tc>
        <w:tc>
          <w:tcPr>
            <w:tcW w:w="1670" w:type="dxa"/>
            <w:tcBorders>
              <w:top w:val="nil"/>
              <w:left w:val="nil"/>
              <w:bottom w:val="nil"/>
              <w:right w:val="nil"/>
            </w:tcBorders>
            <w:shd w:val="clear" w:color="auto" w:fill="FFFFFF"/>
          </w:tcPr>
          <w:p w14:paraId="1CF220D4"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15.78</w:t>
            </w:r>
          </w:p>
        </w:tc>
        <w:tc>
          <w:tcPr>
            <w:tcW w:w="1750" w:type="dxa"/>
            <w:tcBorders>
              <w:top w:val="nil"/>
              <w:left w:val="nil"/>
              <w:bottom w:val="nil"/>
              <w:right w:val="nil"/>
            </w:tcBorders>
            <w:shd w:val="clear" w:color="auto" w:fill="FFFFFF"/>
          </w:tcPr>
          <w:p w14:paraId="1CF220D5"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1.42-2.63</w:t>
            </w:r>
          </w:p>
        </w:tc>
      </w:tr>
      <w:tr w:rsidR="00A72648" w14:paraId="1CF220DC" w14:textId="77777777">
        <w:tc>
          <w:tcPr>
            <w:tcW w:w="1206" w:type="dxa"/>
            <w:tcBorders>
              <w:top w:val="nil"/>
              <w:left w:val="nil"/>
              <w:bottom w:val="nil"/>
              <w:right w:val="nil"/>
            </w:tcBorders>
            <w:shd w:val="clear" w:color="auto" w:fill="FFFFFF"/>
          </w:tcPr>
          <w:p w14:paraId="1CF220D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2019</w:t>
            </w:r>
          </w:p>
        </w:tc>
        <w:tc>
          <w:tcPr>
            <w:tcW w:w="2060" w:type="dxa"/>
            <w:tcBorders>
              <w:top w:val="nil"/>
              <w:left w:val="nil"/>
              <w:bottom w:val="nil"/>
              <w:right w:val="nil"/>
            </w:tcBorders>
            <w:shd w:val="clear" w:color="auto" w:fill="FFFFFF"/>
          </w:tcPr>
          <w:p w14:paraId="1CF220D8"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2.39</w:t>
            </w:r>
          </w:p>
        </w:tc>
        <w:tc>
          <w:tcPr>
            <w:tcW w:w="1540" w:type="dxa"/>
            <w:tcBorders>
              <w:top w:val="nil"/>
              <w:left w:val="nil"/>
              <w:bottom w:val="nil"/>
              <w:right w:val="nil"/>
            </w:tcBorders>
            <w:shd w:val="clear" w:color="auto" w:fill="FFFFFF"/>
          </w:tcPr>
          <w:p w14:paraId="1CF220D9"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0.45</w:t>
            </w:r>
          </w:p>
        </w:tc>
        <w:tc>
          <w:tcPr>
            <w:tcW w:w="1670" w:type="dxa"/>
            <w:tcBorders>
              <w:top w:val="nil"/>
              <w:left w:val="nil"/>
              <w:bottom w:val="nil"/>
              <w:right w:val="nil"/>
            </w:tcBorders>
            <w:shd w:val="clear" w:color="auto" w:fill="FFFFFF"/>
          </w:tcPr>
          <w:p w14:paraId="1CF220DA"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18.88</w:t>
            </w:r>
          </w:p>
        </w:tc>
        <w:tc>
          <w:tcPr>
            <w:tcW w:w="1750" w:type="dxa"/>
            <w:tcBorders>
              <w:top w:val="nil"/>
              <w:left w:val="nil"/>
              <w:bottom w:val="nil"/>
              <w:right w:val="nil"/>
            </w:tcBorders>
            <w:shd w:val="clear" w:color="auto" w:fill="FFFFFF"/>
          </w:tcPr>
          <w:p w14:paraId="1CF220DB"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1.65-3.46</w:t>
            </w:r>
          </w:p>
        </w:tc>
      </w:tr>
      <w:tr w:rsidR="00A72648" w14:paraId="1CF220E2" w14:textId="77777777">
        <w:tc>
          <w:tcPr>
            <w:tcW w:w="1206" w:type="dxa"/>
            <w:tcBorders>
              <w:top w:val="nil"/>
              <w:left w:val="nil"/>
              <w:bottom w:val="nil"/>
              <w:right w:val="nil"/>
            </w:tcBorders>
            <w:shd w:val="clear" w:color="auto" w:fill="FFFFFF"/>
          </w:tcPr>
          <w:p w14:paraId="1CF220D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2020</w:t>
            </w:r>
          </w:p>
        </w:tc>
        <w:tc>
          <w:tcPr>
            <w:tcW w:w="2060" w:type="dxa"/>
            <w:tcBorders>
              <w:top w:val="nil"/>
              <w:left w:val="nil"/>
              <w:bottom w:val="nil"/>
              <w:right w:val="nil"/>
            </w:tcBorders>
            <w:shd w:val="clear" w:color="auto" w:fill="FFFFFF"/>
          </w:tcPr>
          <w:p w14:paraId="1CF220DE"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0.86</w:t>
            </w:r>
          </w:p>
        </w:tc>
        <w:tc>
          <w:tcPr>
            <w:tcW w:w="1540" w:type="dxa"/>
            <w:tcBorders>
              <w:top w:val="nil"/>
              <w:left w:val="nil"/>
              <w:bottom w:val="nil"/>
              <w:right w:val="nil"/>
            </w:tcBorders>
            <w:shd w:val="clear" w:color="auto" w:fill="FFFFFF"/>
          </w:tcPr>
          <w:p w14:paraId="1CF220DF"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0.14</w:t>
            </w:r>
          </w:p>
        </w:tc>
        <w:tc>
          <w:tcPr>
            <w:tcW w:w="1670" w:type="dxa"/>
            <w:tcBorders>
              <w:top w:val="nil"/>
              <w:left w:val="nil"/>
              <w:bottom w:val="nil"/>
              <w:right w:val="nil"/>
            </w:tcBorders>
            <w:shd w:val="clear" w:color="auto" w:fill="FFFFFF"/>
          </w:tcPr>
          <w:p w14:paraId="1CF220E0"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16.47</w:t>
            </w:r>
          </w:p>
        </w:tc>
        <w:tc>
          <w:tcPr>
            <w:tcW w:w="1750" w:type="dxa"/>
            <w:tcBorders>
              <w:top w:val="nil"/>
              <w:left w:val="nil"/>
              <w:bottom w:val="nil"/>
              <w:right w:val="nil"/>
            </w:tcBorders>
            <w:shd w:val="clear" w:color="auto" w:fill="FFFFFF"/>
          </w:tcPr>
          <w:p w14:paraId="1CF220E1"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0.62-1.19</w:t>
            </w:r>
          </w:p>
        </w:tc>
      </w:tr>
      <w:tr w:rsidR="00A72648" w14:paraId="1CF220E8" w14:textId="77777777">
        <w:tc>
          <w:tcPr>
            <w:tcW w:w="1206" w:type="dxa"/>
            <w:tcBorders>
              <w:top w:val="nil"/>
              <w:left w:val="nil"/>
              <w:bottom w:val="nil"/>
              <w:right w:val="nil"/>
            </w:tcBorders>
            <w:shd w:val="clear" w:color="auto" w:fill="FFFFFF"/>
          </w:tcPr>
          <w:p w14:paraId="1CF220E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2021</w:t>
            </w:r>
          </w:p>
        </w:tc>
        <w:tc>
          <w:tcPr>
            <w:tcW w:w="2060" w:type="dxa"/>
            <w:tcBorders>
              <w:top w:val="nil"/>
              <w:left w:val="nil"/>
              <w:bottom w:val="nil"/>
              <w:right w:val="nil"/>
            </w:tcBorders>
            <w:shd w:val="clear" w:color="auto" w:fill="FFFFFF"/>
          </w:tcPr>
          <w:p w14:paraId="1CF220E4"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1.65</w:t>
            </w:r>
          </w:p>
        </w:tc>
        <w:tc>
          <w:tcPr>
            <w:tcW w:w="1540" w:type="dxa"/>
            <w:tcBorders>
              <w:top w:val="nil"/>
              <w:left w:val="nil"/>
              <w:bottom w:val="nil"/>
              <w:right w:val="nil"/>
            </w:tcBorders>
            <w:shd w:val="clear" w:color="auto" w:fill="FFFFFF"/>
          </w:tcPr>
          <w:p w14:paraId="1CF220E5"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0.28</w:t>
            </w:r>
          </w:p>
        </w:tc>
        <w:tc>
          <w:tcPr>
            <w:tcW w:w="1670" w:type="dxa"/>
            <w:tcBorders>
              <w:top w:val="nil"/>
              <w:left w:val="nil"/>
              <w:bottom w:val="nil"/>
              <w:right w:val="nil"/>
            </w:tcBorders>
            <w:shd w:val="clear" w:color="auto" w:fill="FFFFFF"/>
          </w:tcPr>
          <w:p w14:paraId="1CF220E6"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16.91</w:t>
            </w:r>
          </w:p>
        </w:tc>
        <w:tc>
          <w:tcPr>
            <w:tcW w:w="1750" w:type="dxa"/>
            <w:tcBorders>
              <w:top w:val="nil"/>
              <w:left w:val="nil"/>
              <w:bottom w:val="nil"/>
              <w:right w:val="nil"/>
            </w:tcBorders>
            <w:shd w:val="clear" w:color="auto" w:fill="FFFFFF"/>
          </w:tcPr>
          <w:p w14:paraId="1CF220E7"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1.19-2.30</w:t>
            </w:r>
          </w:p>
        </w:tc>
      </w:tr>
      <w:tr w:rsidR="00A72648" w14:paraId="1CF220EE" w14:textId="77777777">
        <w:tc>
          <w:tcPr>
            <w:tcW w:w="1206" w:type="dxa"/>
            <w:tcBorders>
              <w:top w:val="nil"/>
              <w:left w:val="nil"/>
              <w:bottom w:val="nil"/>
              <w:right w:val="nil"/>
            </w:tcBorders>
            <w:shd w:val="clear" w:color="auto" w:fill="FFFFFF"/>
          </w:tcPr>
          <w:p w14:paraId="1CF220E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lastRenderedPageBreak/>
              <w:t>2022</w:t>
            </w:r>
          </w:p>
        </w:tc>
        <w:tc>
          <w:tcPr>
            <w:tcW w:w="2060" w:type="dxa"/>
            <w:tcBorders>
              <w:top w:val="nil"/>
              <w:left w:val="nil"/>
              <w:bottom w:val="nil"/>
              <w:right w:val="nil"/>
            </w:tcBorders>
            <w:shd w:val="clear" w:color="auto" w:fill="FFFFFF"/>
          </w:tcPr>
          <w:p w14:paraId="1CF220EA"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1.54</w:t>
            </w:r>
          </w:p>
        </w:tc>
        <w:tc>
          <w:tcPr>
            <w:tcW w:w="1540" w:type="dxa"/>
            <w:tcBorders>
              <w:top w:val="nil"/>
              <w:left w:val="nil"/>
              <w:bottom w:val="nil"/>
              <w:right w:val="nil"/>
            </w:tcBorders>
            <w:shd w:val="clear" w:color="auto" w:fill="FFFFFF"/>
          </w:tcPr>
          <w:p w14:paraId="1CF220EB"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0.24</w:t>
            </w:r>
          </w:p>
        </w:tc>
        <w:tc>
          <w:tcPr>
            <w:tcW w:w="1670" w:type="dxa"/>
            <w:tcBorders>
              <w:top w:val="nil"/>
              <w:left w:val="nil"/>
              <w:bottom w:val="nil"/>
              <w:right w:val="nil"/>
            </w:tcBorders>
            <w:shd w:val="clear" w:color="auto" w:fill="FFFFFF"/>
          </w:tcPr>
          <w:p w14:paraId="1CF220EC"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15.61</w:t>
            </w:r>
          </w:p>
        </w:tc>
        <w:tc>
          <w:tcPr>
            <w:tcW w:w="1750" w:type="dxa"/>
            <w:tcBorders>
              <w:top w:val="nil"/>
              <w:left w:val="nil"/>
              <w:bottom w:val="nil"/>
              <w:right w:val="nil"/>
            </w:tcBorders>
            <w:shd w:val="clear" w:color="auto" w:fill="FFFFFF"/>
          </w:tcPr>
          <w:p w14:paraId="1CF220ED"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1.13-2.09</w:t>
            </w:r>
          </w:p>
        </w:tc>
      </w:tr>
      <w:tr w:rsidR="00A72648" w14:paraId="1CF220F4" w14:textId="77777777">
        <w:tc>
          <w:tcPr>
            <w:tcW w:w="1206" w:type="dxa"/>
            <w:tcBorders>
              <w:top w:val="nil"/>
              <w:left w:val="nil"/>
              <w:bottom w:val="nil"/>
              <w:right w:val="nil"/>
            </w:tcBorders>
            <w:shd w:val="clear" w:color="auto" w:fill="FFFFFF"/>
          </w:tcPr>
          <w:p w14:paraId="1CF220E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2023</w:t>
            </w:r>
          </w:p>
        </w:tc>
        <w:tc>
          <w:tcPr>
            <w:tcW w:w="2060" w:type="dxa"/>
            <w:tcBorders>
              <w:top w:val="nil"/>
              <w:left w:val="nil"/>
              <w:bottom w:val="nil"/>
              <w:right w:val="nil"/>
            </w:tcBorders>
            <w:shd w:val="clear" w:color="auto" w:fill="FFFFFF"/>
          </w:tcPr>
          <w:p w14:paraId="1CF220F0"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0.60</w:t>
            </w:r>
          </w:p>
        </w:tc>
        <w:tc>
          <w:tcPr>
            <w:tcW w:w="1540" w:type="dxa"/>
            <w:tcBorders>
              <w:top w:val="nil"/>
              <w:left w:val="nil"/>
              <w:bottom w:val="nil"/>
              <w:right w:val="nil"/>
            </w:tcBorders>
            <w:shd w:val="clear" w:color="auto" w:fill="FFFFFF"/>
          </w:tcPr>
          <w:p w14:paraId="1CF220F1"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0.09</w:t>
            </w:r>
          </w:p>
        </w:tc>
        <w:tc>
          <w:tcPr>
            <w:tcW w:w="1670" w:type="dxa"/>
            <w:tcBorders>
              <w:top w:val="nil"/>
              <w:left w:val="nil"/>
              <w:bottom w:val="nil"/>
              <w:right w:val="nil"/>
            </w:tcBorders>
            <w:shd w:val="clear" w:color="auto" w:fill="FFFFFF"/>
          </w:tcPr>
          <w:p w14:paraId="1CF220F2"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15.61</w:t>
            </w:r>
          </w:p>
        </w:tc>
        <w:tc>
          <w:tcPr>
            <w:tcW w:w="1750" w:type="dxa"/>
            <w:tcBorders>
              <w:top w:val="nil"/>
              <w:left w:val="nil"/>
              <w:bottom w:val="nil"/>
              <w:right w:val="nil"/>
            </w:tcBorders>
            <w:shd w:val="clear" w:color="auto" w:fill="FFFFFF"/>
          </w:tcPr>
          <w:p w14:paraId="1CF220F3"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0.44-0.80</w:t>
            </w:r>
          </w:p>
        </w:tc>
      </w:tr>
      <w:tr w:rsidR="00A72648" w14:paraId="1CF220FA" w14:textId="77777777">
        <w:tc>
          <w:tcPr>
            <w:tcW w:w="1206" w:type="dxa"/>
            <w:tcBorders>
              <w:top w:val="nil"/>
              <w:left w:val="nil"/>
              <w:bottom w:val="single" w:sz="12" w:space="0" w:color="000000"/>
              <w:right w:val="nil"/>
            </w:tcBorders>
            <w:shd w:val="clear" w:color="auto" w:fill="FFFFFF"/>
          </w:tcPr>
          <w:p w14:paraId="1CF220F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2024</w:t>
            </w:r>
          </w:p>
        </w:tc>
        <w:tc>
          <w:tcPr>
            <w:tcW w:w="2060" w:type="dxa"/>
            <w:tcBorders>
              <w:top w:val="nil"/>
              <w:left w:val="nil"/>
              <w:bottom w:val="single" w:sz="12" w:space="0" w:color="000000"/>
              <w:right w:val="nil"/>
            </w:tcBorders>
            <w:shd w:val="clear" w:color="auto" w:fill="FFFFFF"/>
          </w:tcPr>
          <w:p w14:paraId="1CF220F6"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1.19</w:t>
            </w:r>
          </w:p>
        </w:tc>
        <w:tc>
          <w:tcPr>
            <w:tcW w:w="1540" w:type="dxa"/>
            <w:tcBorders>
              <w:top w:val="nil"/>
              <w:left w:val="nil"/>
              <w:bottom w:val="single" w:sz="12" w:space="0" w:color="000000"/>
              <w:right w:val="nil"/>
            </w:tcBorders>
            <w:shd w:val="clear" w:color="auto" w:fill="FFFFFF"/>
          </w:tcPr>
          <w:p w14:paraId="1CF220F7"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0.19</w:t>
            </w:r>
          </w:p>
        </w:tc>
        <w:tc>
          <w:tcPr>
            <w:tcW w:w="1670" w:type="dxa"/>
            <w:tcBorders>
              <w:top w:val="nil"/>
              <w:left w:val="nil"/>
              <w:bottom w:val="single" w:sz="12" w:space="0" w:color="000000"/>
              <w:right w:val="nil"/>
            </w:tcBorders>
            <w:shd w:val="clear" w:color="auto" w:fill="FFFFFF"/>
          </w:tcPr>
          <w:p w14:paraId="1CF220F8"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16.03</w:t>
            </w:r>
          </w:p>
        </w:tc>
        <w:tc>
          <w:tcPr>
            <w:tcW w:w="1750" w:type="dxa"/>
            <w:tcBorders>
              <w:top w:val="nil"/>
              <w:left w:val="nil"/>
              <w:bottom w:val="single" w:sz="12" w:space="0" w:color="000000"/>
              <w:right w:val="nil"/>
            </w:tcBorders>
            <w:shd w:val="clear" w:color="auto" w:fill="FFFFFF"/>
          </w:tcPr>
          <w:p w14:paraId="1CF220F9" w14:textId="77777777" w:rsidR="00A72648" w:rsidRDefault="00000000">
            <w:pPr>
              <w:jc w:val="center"/>
              <w:rPr>
                <w:rFonts w:ascii="Times New Roman" w:hAnsi="Times New Roman" w:cs="Times New Roman"/>
                <w:color w:val="000000"/>
                <w:szCs w:val="21"/>
              </w:rPr>
            </w:pPr>
            <w:r>
              <w:rPr>
                <w:rFonts w:ascii="Times New Roman" w:hAnsi="Times New Roman" w:cs="Times New Roman" w:hint="eastAsia"/>
                <w:color w:val="000000"/>
                <w:szCs w:val="21"/>
              </w:rPr>
              <w:t>0.87-1.63</w:t>
            </w:r>
          </w:p>
        </w:tc>
      </w:tr>
    </w:tbl>
    <w:p w14:paraId="1CF220FB" w14:textId="77777777" w:rsidR="00A72648" w:rsidRDefault="00A72648"/>
    <w:p w14:paraId="1CF220FC" w14:textId="77777777" w:rsidR="00A72648" w:rsidRDefault="00A72648"/>
    <w:p w14:paraId="1CF220FD" w14:textId="77777777" w:rsidR="00A72648" w:rsidRDefault="00000000">
      <w:pP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5</w:t>
      </w:r>
      <w:r>
        <w:rPr>
          <w:rFonts w:ascii="Times New Roman" w:hAnsi="Times New Roman" w:cs="Times New Roman"/>
          <w:b/>
          <w:bCs/>
        </w:rPr>
        <w:t>.</w:t>
      </w:r>
      <w:r>
        <w:rPr>
          <w:rFonts w:ascii="Times New Roman" w:hAnsi="Times New Roman" w:cs="Times New Roman"/>
        </w:rPr>
        <w:t xml:space="preserve"> CPUE indices for the winter-spring cohort: nominal and standardized by three models.</w:t>
      </w:r>
    </w:p>
    <w:tbl>
      <w:tblPr>
        <w:tblW w:w="7982" w:type="dxa"/>
        <w:jc w:val="center"/>
        <w:tblLook w:val="04A0" w:firstRow="1" w:lastRow="0" w:firstColumn="1" w:lastColumn="0" w:noHBand="0" w:noVBand="1"/>
      </w:tblPr>
      <w:tblGrid>
        <w:gridCol w:w="1395"/>
        <w:gridCol w:w="1616"/>
        <w:gridCol w:w="1733"/>
        <w:gridCol w:w="1516"/>
        <w:gridCol w:w="1722"/>
      </w:tblGrid>
      <w:tr w:rsidR="00A72648" w14:paraId="1CF22103" w14:textId="77777777">
        <w:trPr>
          <w:tblHeader/>
          <w:jc w:val="center"/>
        </w:trPr>
        <w:tc>
          <w:tcPr>
            <w:tcW w:w="1395" w:type="dxa"/>
            <w:tcBorders>
              <w:top w:val="single" w:sz="12" w:space="0" w:color="000000"/>
              <w:left w:val="nil"/>
              <w:bottom w:val="single" w:sz="4" w:space="0" w:color="000000"/>
              <w:right w:val="nil"/>
              <w:tl2br w:val="nil"/>
            </w:tcBorders>
            <w:shd w:val="clear" w:color="auto" w:fill="FFFFFF"/>
            <w:tcMar>
              <w:top w:w="-1" w:type="dxa"/>
              <w:left w:w="-1" w:type="dxa"/>
              <w:bottom w:w="-1" w:type="dxa"/>
              <w:right w:w="-1" w:type="dxa"/>
            </w:tcMar>
            <w:vAlign w:val="center"/>
          </w:tcPr>
          <w:p w14:paraId="1CF220F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Year</w:t>
            </w:r>
          </w:p>
        </w:tc>
        <w:tc>
          <w:tcPr>
            <w:tcW w:w="1616"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20FF" w14:textId="77777777" w:rsidR="00A72648" w:rsidRDefault="00000000">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Nominal_CPUE</w:t>
            </w:r>
            <w:proofErr w:type="spellEnd"/>
          </w:p>
        </w:tc>
        <w:tc>
          <w:tcPr>
            <w:tcW w:w="1733"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2100" w14:textId="77777777" w:rsidR="00A72648" w:rsidRDefault="00000000">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GAM_Std_CPUE</w:t>
            </w:r>
            <w:proofErr w:type="spellEnd"/>
          </w:p>
        </w:tc>
        <w:tc>
          <w:tcPr>
            <w:tcW w:w="1516"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2101" w14:textId="77777777" w:rsidR="00A72648" w:rsidRDefault="00000000">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RF_Std_CPUE</w:t>
            </w:r>
            <w:proofErr w:type="spellEnd"/>
          </w:p>
        </w:tc>
        <w:tc>
          <w:tcPr>
            <w:tcW w:w="1722" w:type="dxa"/>
            <w:tcBorders>
              <w:top w:val="single" w:sz="12" w:space="0" w:color="000000"/>
              <w:left w:val="nil"/>
              <w:bottom w:val="single" w:sz="4" w:space="0" w:color="000000"/>
              <w:right w:val="nil"/>
            </w:tcBorders>
            <w:shd w:val="clear" w:color="auto" w:fill="FFFFFF"/>
            <w:tcMar>
              <w:top w:w="-1" w:type="dxa"/>
              <w:left w:w="-1" w:type="dxa"/>
              <w:bottom w:w="-1" w:type="dxa"/>
              <w:right w:w="-1" w:type="dxa"/>
            </w:tcMar>
            <w:vAlign w:val="center"/>
          </w:tcPr>
          <w:p w14:paraId="1CF22102" w14:textId="77777777" w:rsidR="00A72648" w:rsidRDefault="00000000">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GBM_Std_CPUE</w:t>
            </w:r>
            <w:proofErr w:type="spellEnd"/>
          </w:p>
        </w:tc>
      </w:tr>
      <w:tr w:rsidR="00A72648" w14:paraId="1CF22109" w14:textId="77777777">
        <w:trPr>
          <w:jc w:val="center"/>
        </w:trPr>
        <w:tc>
          <w:tcPr>
            <w:tcW w:w="1395"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210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2005</w:t>
            </w:r>
          </w:p>
        </w:tc>
        <w:tc>
          <w:tcPr>
            <w:tcW w:w="1616"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210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5.68</w:t>
            </w:r>
          </w:p>
        </w:tc>
        <w:tc>
          <w:tcPr>
            <w:tcW w:w="1733"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210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7.01</w:t>
            </w:r>
          </w:p>
        </w:tc>
        <w:tc>
          <w:tcPr>
            <w:tcW w:w="1516"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210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3.53</w:t>
            </w:r>
          </w:p>
        </w:tc>
        <w:tc>
          <w:tcPr>
            <w:tcW w:w="1722" w:type="dxa"/>
            <w:tcBorders>
              <w:top w:val="single" w:sz="4" w:space="0" w:color="000000"/>
              <w:left w:val="nil"/>
              <w:bottom w:val="nil"/>
              <w:right w:val="nil"/>
            </w:tcBorders>
            <w:shd w:val="clear" w:color="auto" w:fill="FFFFFF"/>
            <w:tcMar>
              <w:top w:w="-1" w:type="dxa"/>
              <w:left w:w="-1" w:type="dxa"/>
              <w:bottom w:w="-1" w:type="dxa"/>
              <w:right w:w="-1" w:type="dxa"/>
            </w:tcMar>
            <w:vAlign w:val="center"/>
          </w:tcPr>
          <w:p w14:paraId="1CF2210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4.75</w:t>
            </w:r>
          </w:p>
        </w:tc>
      </w:tr>
      <w:tr w:rsidR="00A72648" w14:paraId="1CF2210F"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0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2006</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0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12.72</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0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8.34</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0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3.92</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0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6.77</w:t>
            </w:r>
          </w:p>
        </w:tc>
      </w:tr>
      <w:tr w:rsidR="00A72648" w14:paraId="1CF22115"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1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2007</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1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7.87</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1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8.02</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1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3.42</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1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4.87</w:t>
            </w:r>
          </w:p>
        </w:tc>
      </w:tr>
      <w:tr w:rsidR="00A72648" w14:paraId="1CF2211B"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1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2008</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1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2.38</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1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2.55</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1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1.43</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1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1.60</w:t>
            </w:r>
          </w:p>
        </w:tc>
      </w:tr>
      <w:tr w:rsidR="00A72648" w14:paraId="1CF22121"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1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2009</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1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1.04</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1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1.31</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1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1.04</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2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0.79</w:t>
            </w:r>
          </w:p>
        </w:tc>
      </w:tr>
      <w:tr w:rsidR="00A72648" w14:paraId="1CF22127"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2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2010</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2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1.19</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2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1.63</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2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1.10</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2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0.93</w:t>
            </w:r>
          </w:p>
        </w:tc>
      </w:tr>
      <w:tr w:rsidR="00A72648" w14:paraId="1CF2212D"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2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2011</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2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2.00</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2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2.62</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2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1.53</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2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1.35</w:t>
            </w:r>
          </w:p>
        </w:tc>
      </w:tr>
      <w:tr w:rsidR="00A72648" w14:paraId="1CF22133"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2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2012</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2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1.24</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3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1.46</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3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1.05</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3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0.88</w:t>
            </w:r>
          </w:p>
        </w:tc>
      </w:tr>
      <w:tr w:rsidR="00A72648" w14:paraId="1CF22139"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3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2013</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3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1.34</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3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1.88</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3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1.10</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3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1.04</w:t>
            </w:r>
          </w:p>
        </w:tc>
      </w:tr>
      <w:tr w:rsidR="00A72648" w14:paraId="1CF2213F"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3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2014</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3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1.16</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3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1.45</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3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1.06</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3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0.82</w:t>
            </w:r>
          </w:p>
        </w:tc>
      </w:tr>
      <w:tr w:rsidR="00A72648" w14:paraId="1CF22145"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4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2015</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4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1.48</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4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1.93</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4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1.14</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4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1.01</w:t>
            </w:r>
          </w:p>
        </w:tc>
      </w:tr>
      <w:tr w:rsidR="00A72648" w14:paraId="1CF2214B"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4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2016</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4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1.80</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4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1.78</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4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1.35</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4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1.34</w:t>
            </w:r>
          </w:p>
        </w:tc>
      </w:tr>
      <w:tr w:rsidR="00A72648" w14:paraId="1CF22151"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4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2017</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4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1.33</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4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1.49</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4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1.06</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5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0.88</w:t>
            </w:r>
          </w:p>
        </w:tc>
      </w:tr>
      <w:tr w:rsidR="00A72648" w14:paraId="1CF22157"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5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2018</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5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1.50</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5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1.82</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5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1.34</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5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1.28</w:t>
            </w:r>
          </w:p>
        </w:tc>
      </w:tr>
      <w:tr w:rsidR="00A72648" w14:paraId="1CF2215D"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5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2019</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5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1.93</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5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2.23</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5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1.51</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5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1.37</w:t>
            </w:r>
          </w:p>
        </w:tc>
      </w:tr>
      <w:tr w:rsidR="00A72648" w14:paraId="1CF22163"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5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2020</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5F"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1.23</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6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0.81</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6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1.14</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6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0.73</w:t>
            </w:r>
          </w:p>
        </w:tc>
      </w:tr>
      <w:tr w:rsidR="00A72648" w14:paraId="1CF22169"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6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2021</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65"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1.75</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6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1.54</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6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1.21</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6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0.76</w:t>
            </w:r>
          </w:p>
        </w:tc>
      </w:tr>
      <w:tr w:rsidR="00A72648" w14:paraId="1CF2216F"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6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2022</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6B"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1.61</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6C"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1.45</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6D"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1.30</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6E"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1.22</w:t>
            </w:r>
          </w:p>
        </w:tc>
      </w:tr>
      <w:tr w:rsidR="00A72648" w14:paraId="1CF22175" w14:textId="77777777">
        <w:trPr>
          <w:jc w:val="center"/>
        </w:trPr>
        <w:tc>
          <w:tcPr>
            <w:tcW w:w="1395" w:type="dxa"/>
            <w:tcBorders>
              <w:top w:val="nil"/>
              <w:left w:val="nil"/>
              <w:bottom w:val="nil"/>
              <w:right w:val="nil"/>
            </w:tcBorders>
            <w:shd w:val="clear" w:color="auto" w:fill="FFFFFF"/>
            <w:tcMar>
              <w:top w:w="-1" w:type="dxa"/>
              <w:left w:w="-1" w:type="dxa"/>
              <w:bottom w:w="-1" w:type="dxa"/>
              <w:right w:w="-1" w:type="dxa"/>
            </w:tcMar>
            <w:vAlign w:val="center"/>
          </w:tcPr>
          <w:p w14:paraId="1CF22170"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2023</w:t>
            </w:r>
          </w:p>
        </w:tc>
        <w:tc>
          <w:tcPr>
            <w:tcW w:w="1616" w:type="dxa"/>
            <w:tcBorders>
              <w:top w:val="nil"/>
              <w:left w:val="nil"/>
              <w:bottom w:val="nil"/>
              <w:right w:val="nil"/>
            </w:tcBorders>
            <w:shd w:val="clear" w:color="auto" w:fill="FFFFFF"/>
            <w:tcMar>
              <w:top w:w="-1" w:type="dxa"/>
              <w:left w:w="-1" w:type="dxa"/>
              <w:bottom w:w="-1" w:type="dxa"/>
              <w:right w:w="-1" w:type="dxa"/>
            </w:tcMar>
            <w:vAlign w:val="center"/>
          </w:tcPr>
          <w:p w14:paraId="1CF22171"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0.95</w:t>
            </w:r>
          </w:p>
        </w:tc>
        <w:tc>
          <w:tcPr>
            <w:tcW w:w="1733" w:type="dxa"/>
            <w:tcBorders>
              <w:top w:val="nil"/>
              <w:left w:val="nil"/>
              <w:bottom w:val="nil"/>
              <w:right w:val="nil"/>
            </w:tcBorders>
            <w:shd w:val="clear" w:color="auto" w:fill="FFFFFF"/>
            <w:tcMar>
              <w:top w:w="-1" w:type="dxa"/>
              <w:left w:w="-1" w:type="dxa"/>
              <w:bottom w:w="-1" w:type="dxa"/>
              <w:right w:w="-1" w:type="dxa"/>
            </w:tcMar>
            <w:vAlign w:val="center"/>
          </w:tcPr>
          <w:p w14:paraId="1CF22172"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0.57</w:t>
            </w:r>
          </w:p>
        </w:tc>
        <w:tc>
          <w:tcPr>
            <w:tcW w:w="1516" w:type="dxa"/>
            <w:tcBorders>
              <w:top w:val="nil"/>
              <w:left w:val="nil"/>
              <w:bottom w:val="nil"/>
              <w:right w:val="nil"/>
            </w:tcBorders>
            <w:shd w:val="clear" w:color="auto" w:fill="FFFFFF"/>
            <w:tcMar>
              <w:top w:w="-1" w:type="dxa"/>
              <w:left w:w="-1" w:type="dxa"/>
              <w:bottom w:w="-1" w:type="dxa"/>
              <w:right w:w="-1" w:type="dxa"/>
            </w:tcMar>
            <w:vAlign w:val="center"/>
          </w:tcPr>
          <w:p w14:paraId="1CF22173"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1.10</w:t>
            </w:r>
          </w:p>
        </w:tc>
        <w:tc>
          <w:tcPr>
            <w:tcW w:w="1722" w:type="dxa"/>
            <w:tcBorders>
              <w:top w:val="nil"/>
              <w:left w:val="nil"/>
              <w:bottom w:val="nil"/>
              <w:right w:val="nil"/>
            </w:tcBorders>
            <w:shd w:val="clear" w:color="auto" w:fill="FFFFFF"/>
            <w:tcMar>
              <w:top w:w="-1" w:type="dxa"/>
              <w:left w:w="-1" w:type="dxa"/>
              <w:bottom w:w="-1" w:type="dxa"/>
              <w:right w:w="-1" w:type="dxa"/>
            </w:tcMar>
            <w:vAlign w:val="center"/>
          </w:tcPr>
          <w:p w14:paraId="1CF22174"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0.94</w:t>
            </w:r>
          </w:p>
        </w:tc>
      </w:tr>
      <w:tr w:rsidR="00A72648" w14:paraId="1CF2217B" w14:textId="77777777">
        <w:trPr>
          <w:jc w:val="center"/>
        </w:trPr>
        <w:tc>
          <w:tcPr>
            <w:tcW w:w="1395"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176"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2024</w:t>
            </w:r>
          </w:p>
        </w:tc>
        <w:tc>
          <w:tcPr>
            <w:tcW w:w="1616"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177"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1.16</w:t>
            </w:r>
          </w:p>
        </w:tc>
        <w:tc>
          <w:tcPr>
            <w:tcW w:w="1733"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178"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1.13</w:t>
            </w:r>
          </w:p>
        </w:tc>
        <w:tc>
          <w:tcPr>
            <w:tcW w:w="1516"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179"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1.12</w:t>
            </w:r>
          </w:p>
        </w:tc>
        <w:tc>
          <w:tcPr>
            <w:tcW w:w="1722" w:type="dxa"/>
            <w:tcBorders>
              <w:top w:val="nil"/>
              <w:left w:val="nil"/>
              <w:bottom w:val="single" w:sz="12" w:space="0" w:color="000000"/>
              <w:right w:val="nil"/>
            </w:tcBorders>
            <w:shd w:val="clear" w:color="auto" w:fill="FFFFFF"/>
            <w:tcMar>
              <w:top w:w="-1" w:type="dxa"/>
              <w:left w:w="-1" w:type="dxa"/>
              <w:bottom w:w="-1" w:type="dxa"/>
              <w:right w:w="-1" w:type="dxa"/>
            </w:tcMar>
            <w:vAlign w:val="center"/>
          </w:tcPr>
          <w:p w14:paraId="1CF2217A" w14:textId="77777777" w:rsidR="00A72648" w:rsidRDefault="00000000">
            <w:pPr>
              <w:jc w:val="center"/>
              <w:rPr>
                <w:rFonts w:ascii="Times New Roman" w:hAnsi="Times New Roman" w:cs="Times New Roman"/>
                <w:color w:val="000000"/>
                <w:szCs w:val="21"/>
              </w:rPr>
            </w:pPr>
            <w:r>
              <w:rPr>
                <w:rFonts w:ascii="Times New Roman" w:hAnsi="Times New Roman" w:cs="Times New Roman"/>
                <w:color w:val="000000"/>
                <w:szCs w:val="21"/>
              </w:rPr>
              <w:t>0.88</w:t>
            </w:r>
          </w:p>
        </w:tc>
      </w:tr>
    </w:tbl>
    <w:p w14:paraId="1CF2217C" w14:textId="77777777" w:rsidR="00A72648" w:rsidRDefault="00A72648"/>
    <w:p w14:paraId="1CF2217D" w14:textId="77777777" w:rsidR="00A72648" w:rsidRDefault="00000000">
      <w:pPr>
        <w:jc w:val="center"/>
        <w:rPr>
          <w:rFonts w:ascii="Times New Roman" w:hAnsi="Times New Roman" w:cs="Times New Roman"/>
          <w:sz w:val="24"/>
        </w:rPr>
      </w:pPr>
      <w:r>
        <w:rPr>
          <w:rFonts w:ascii="Times New Roman" w:hAnsi="Times New Roman" w:cs="Times New Roman" w:hint="eastAsia"/>
          <w:noProof/>
          <w:sz w:val="24"/>
        </w:rPr>
        <w:drawing>
          <wp:inline distT="0" distB="0" distL="114300" distR="114300" wp14:anchorId="1CF2219A" wp14:editId="1CF2219B">
            <wp:extent cx="3437255" cy="2520315"/>
            <wp:effectExtent l="0" t="0" r="6985" b="9525"/>
            <wp:docPr id="6" name="图片 6" descr="Combined_Catch_FishingDays_NPFC_2005-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ombined_Catch_FishingDays_NPFC_2005-2024"/>
                    <pic:cNvPicPr>
                      <a:picLocks noChangeAspect="1"/>
                    </pic:cNvPicPr>
                  </pic:nvPicPr>
                  <pic:blipFill>
                    <a:blip r:embed="rId7"/>
                    <a:stretch>
                      <a:fillRect/>
                    </a:stretch>
                  </pic:blipFill>
                  <pic:spPr>
                    <a:xfrm>
                      <a:off x="0" y="0"/>
                      <a:ext cx="3437255" cy="2520315"/>
                    </a:xfrm>
                    <a:prstGeom prst="rect">
                      <a:avLst/>
                    </a:prstGeom>
                  </pic:spPr>
                </pic:pic>
              </a:graphicData>
            </a:graphic>
          </wp:inline>
        </w:drawing>
      </w:r>
    </w:p>
    <w:p w14:paraId="1CF2217E" w14:textId="77777777" w:rsidR="00A72648" w:rsidRDefault="00000000">
      <w:pPr>
        <w:rPr>
          <w:rFonts w:ascii="Times New Roman" w:hAnsi="Times New Roman" w:cs="Times New Roman"/>
          <w:szCs w:val="21"/>
        </w:rPr>
      </w:pPr>
      <w:r>
        <w:rPr>
          <w:rFonts w:ascii="Times New Roman" w:hAnsi="Times New Roman" w:cs="Times New Roman"/>
          <w:b/>
          <w:bCs/>
          <w:szCs w:val="21"/>
        </w:rPr>
        <w:t>Fig.</w:t>
      </w:r>
      <w:r>
        <w:rPr>
          <w:rFonts w:ascii="Times New Roman" w:hAnsi="Times New Roman" w:cs="Times New Roman" w:hint="eastAsia"/>
          <w:b/>
          <w:bCs/>
          <w:szCs w:val="21"/>
        </w:rPr>
        <w:t xml:space="preserve"> </w:t>
      </w:r>
      <w:r>
        <w:rPr>
          <w:rFonts w:ascii="Times New Roman" w:hAnsi="Times New Roman" w:cs="Times New Roman"/>
          <w:b/>
          <w:bCs/>
          <w:szCs w:val="21"/>
        </w:rPr>
        <w:t>1</w:t>
      </w:r>
      <w:r>
        <w:rPr>
          <w:rFonts w:ascii="Times New Roman" w:hAnsi="Times New Roman" w:cs="Times New Roman"/>
          <w:szCs w:val="21"/>
        </w:rPr>
        <w:t xml:space="preserve"> Annual catch and fishing effort (i.e., vessel-days) of neon flying squid from the Chinese squid-jigging fishery in the Northwest Pacific Ocean, 2005-2024.</w:t>
      </w:r>
    </w:p>
    <w:p w14:paraId="1CF2217F" w14:textId="77777777" w:rsidR="00A72648" w:rsidRDefault="00A72648">
      <w:pPr>
        <w:rPr>
          <w:rFonts w:ascii="Times New Roman" w:hAnsi="Times New Roman" w:cs="Times New Roman"/>
          <w:sz w:val="24"/>
        </w:rPr>
      </w:pPr>
    </w:p>
    <w:p w14:paraId="1CF22180" w14:textId="77777777" w:rsidR="00A72648" w:rsidRDefault="00A72648">
      <w:pPr>
        <w:rPr>
          <w:rFonts w:ascii="Times New Roman" w:hAnsi="Times New Roman" w:cs="Times New Roman"/>
          <w:sz w:val="24"/>
        </w:rPr>
      </w:pPr>
    </w:p>
    <w:p w14:paraId="1CF22181" w14:textId="77777777" w:rsidR="00A72648" w:rsidRDefault="00000000">
      <w:pPr>
        <w:jc w:val="center"/>
        <w:rPr>
          <w:rFonts w:ascii="Times New Roman" w:hAnsi="Times New Roman" w:cs="Times New Roman"/>
          <w:sz w:val="24"/>
        </w:rPr>
      </w:pPr>
      <w:r>
        <w:rPr>
          <w:rFonts w:ascii="Times New Roman" w:hAnsi="Times New Roman" w:cs="Times New Roman" w:hint="eastAsia"/>
          <w:noProof/>
          <w:sz w:val="24"/>
        </w:rPr>
        <w:drawing>
          <wp:inline distT="0" distB="0" distL="114300" distR="114300" wp14:anchorId="1CF2219C" wp14:editId="1CF2219D">
            <wp:extent cx="3359785" cy="6814185"/>
            <wp:effectExtent l="0" t="0" r="8255" b="13335"/>
            <wp:docPr id="2" name="图片 2" descr="Monthly_NCPUE_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onthly_NCPUE_Distribution"/>
                    <pic:cNvPicPr>
                      <a:picLocks noChangeAspect="1"/>
                    </pic:cNvPicPr>
                  </pic:nvPicPr>
                  <pic:blipFill>
                    <a:blip r:embed="rId8"/>
                    <a:stretch>
                      <a:fillRect/>
                    </a:stretch>
                  </pic:blipFill>
                  <pic:spPr>
                    <a:xfrm>
                      <a:off x="0" y="0"/>
                      <a:ext cx="3359785" cy="6814185"/>
                    </a:xfrm>
                    <a:prstGeom prst="rect">
                      <a:avLst/>
                    </a:prstGeom>
                  </pic:spPr>
                </pic:pic>
              </a:graphicData>
            </a:graphic>
          </wp:inline>
        </w:drawing>
      </w:r>
    </w:p>
    <w:p w14:paraId="1CF22182" w14:textId="77777777" w:rsidR="00A72648" w:rsidRDefault="00000000">
      <w:pPr>
        <w:rPr>
          <w:rFonts w:ascii="Times New Roman" w:hAnsi="Times New Roman" w:cs="Times New Roman"/>
          <w:szCs w:val="21"/>
        </w:rPr>
      </w:pPr>
      <w:r>
        <w:rPr>
          <w:rFonts w:ascii="Times New Roman" w:hAnsi="Times New Roman" w:cs="Times New Roman"/>
          <w:b/>
          <w:bCs/>
          <w:szCs w:val="21"/>
        </w:rPr>
        <w:t>Fig</w:t>
      </w:r>
      <w:r>
        <w:rPr>
          <w:rFonts w:ascii="Times New Roman" w:hAnsi="Times New Roman" w:cs="Times New Roman" w:hint="eastAsia"/>
          <w:b/>
          <w:bCs/>
          <w:szCs w:val="21"/>
        </w:rPr>
        <w:t>. 2</w:t>
      </w:r>
      <w:r>
        <w:rPr>
          <w:rFonts w:ascii="Times New Roman" w:hAnsi="Times New Roman" w:cs="Times New Roman"/>
          <w:szCs w:val="21"/>
        </w:rPr>
        <w:t xml:space="preserve"> Spatial distribution of mean nominal CPUE for the autumn cohort (May – August) and the winter-spring cohort (</w:t>
      </w:r>
      <w:r>
        <w:rPr>
          <w:rFonts w:ascii="Times New Roman" w:hAnsi="Times New Roman" w:cs="Times New Roman" w:hint="eastAsia"/>
          <w:szCs w:val="21"/>
        </w:rPr>
        <w:t>May</w:t>
      </w:r>
      <w:r>
        <w:rPr>
          <w:rFonts w:ascii="Times New Roman" w:hAnsi="Times New Roman" w:cs="Times New Roman"/>
          <w:szCs w:val="21"/>
        </w:rPr>
        <w:t xml:space="preserve"> – November) of neon flying squid by Chinese squid jigging fisheries. </w:t>
      </w:r>
    </w:p>
    <w:p w14:paraId="1CF22183" w14:textId="77777777" w:rsidR="00A72648" w:rsidRDefault="00A72648">
      <w:pPr>
        <w:rPr>
          <w:rFonts w:ascii="Times New Roman" w:hAnsi="Times New Roman" w:cs="Times New Roman"/>
          <w:szCs w:val="21"/>
        </w:rPr>
      </w:pPr>
    </w:p>
    <w:p w14:paraId="1CF22184" w14:textId="77777777" w:rsidR="00A72648" w:rsidRDefault="00A72648">
      <w:pPr>
        <w:rPr>
          <w:rFonts w:ascii="Times New Roman" w:hAnsi="Times New Roman" w:cs="Times New Roman"/>
          <w:sz w:val="24"/>
        </w:rPr>
      </w:pPr>
    </w:p>
    <w:p w14:paraId="1CF22185" w14:textId="77777777" w:rsidR="00A72648" w:rsidRDefault="00A72648">
      <w:pPr>
        <w:rPr>
          <w:rFonts w:ascii="Times New Roman" w:hAnsi="Times New Roman" w:cs="Times New Roman"/>
          <w:sz w:val="24"/>
        </w:rPr>
      </w:pPr>
    </w:p>
    <w:p w14:paraId="1CF22186" w14:textId="77777777" w:rsidR="00A72648" w:rsidRDefault="00A72648">
      <w:pPr>
        <w:rPr>
          <w:rFonts w:ascii="Times New Roman" w:hAnsi="Times New Roman" w:cs="Times New Roman"/>
          <w:sz w:val="24"/>
        </w:rPr>
      </w:pPr>
    </w:p>
    <w:p w14:paraId="1CF22187" w14:textId="77777777" w:rsidR="00A72648" w:rsidRDefault="00A72648">
      <w:pPr>
        <w:rPr>
          <w:rFonts w:ascii="Times New Roman" w:hAnsi="Times New Roman" w:cs="Times New Roman"/>
          <w:sz w:val="24"/>
        </w:rPr>
      </w:pPr>
    </w:p>
    <w:p w14:paraId="1CF22188" w14:textId="77777777" w:rsidR="00A72648" w:rsidRDefault="00A72648">
      <w:pPr>
        <w:rPr>
          <w:rFonts w:ascii="Times New Roman" w:hAnsi="Times New Roman" w:cs="Times New Roman"/>
          <w:sz w:val="24"/>
        </w:rPr>
      </w:pPr>
    </w:p>
    <w:p w14:paraId="1CF22189" w14:textId="77777777" w:rsidR="00A72648" w:rsidRDefault="00000000">
      <w:pPr>
        <w:jc w:val="center"/>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1CF2219E" wp14:editId="1CF2219F">
            <wp:extent cx="4269740" cy="3742690"/>
            <wp:effectExtent l="0" t="0" r="12700" b="6350"/>
            <wp:docPr id="3" name="图片 3" descr="Correlation_Matrix_Fina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orrelation_Matrix_Final_1"/>
                    <pic:cNvPicPr>
                      <a:picLocks noChangeAspect="1"/>
                    </pic:cNvPicPr>
                  </pic:nvPicPr>
                  <pic:blipFill>
                    <a:blip r:embed="rId9"/>
                    <a:srcRect l="1914" t="8931" r="4539" b="1602"/>
                    <a:stretch>
                      <a:fillRect/>
                    </a:stretch>
                  </pic:blipFill>
                  <pic:spPr>
                    <a:xfrm>
                      <a:off x="0" y="0"/>
                      <a:ext cx="4269740" cy="3742690"/>
                    </a:xfrm>
                    <a:prstGeom prst="rect">
                      <a:avLst/>
                    </a:prstGeom>
                  </pic:spPr>
                </pic:pic>
              </a:graphicData>
            </a:graphic>
          </wp:inline>
        </w:drawing>
      </w:r>
    </w:p>
    <w:p w14:paraId="1CF2218A" w14:textId="77777777" w:rsidR="00A72648" w:rsidRDefault="00000000">
      <w:pPr>
        <w:rPr>
          <w:rFonts w:ascii="Times New Roman" w:hAnsi="Times New Roman" w:cs="Times New Roman"/>
          <w:szCs w:val="21"/>
        </w:rPr>
      </w:pPr>
      <w:r>
        <w:rPr>
          <w:rFonts w:ascii="Times New Roman" w:hAnsi="Times New Roman" w:cs="Times New Roman"/>
          <w:b/>
          <w:bCs/>
          <w:szCs w:val="21"/>
        </w:rPr>
        <w:t>Fig. 3</w:t>
      </w:r>
      <w:r>
        <w:rPr>
          <w:rFonts w:ascii="Times New Roman" w:hAnsi="Times New Roman" w:cs="Times New Roman"/>
          <w:szCs w:val="21"/>
        </w:rPr>
        <w:t xml:space="preserve"> Correlation matrix of explanatory variables used in the analysis.</w:t>
      </w:r>
    </w:p>
    <w:p w14:paraId="1CF2218B" w14:textId="77777777" w:rsidR="00A72648" w:rsidRDefault="00A72648">
      <w:pPr>
        <w:rPr>
          <w:rFonts w:ascii="Times New Roman" w:hAnsi="Times New Roman" w:cs="Times New Roman"/>
          <w:szCs w:val="21"/>
        </w:rPr>
      </w:pPr>
    </w:p>
    <w:p w14:paraId="1CF2218C" w14:textId="77777777" w:rsidR="00A72648" w:rsidRDefault="00000000">
      <w:pPr>
        <w:jc w:val="center"/>
        <w:rPr>
          <w:rFonts w:ascii="Times New Roman" w:hAnsi="Times New Roman" w:cs="Times New Roman"/>
          <w:sz w:val="24"/>
        </w:rPr>
      </w:pPr>
      <w:r>
        <w:rPr>
          <w:rFonts w:ascii="Times New Roman" w:hAnsi="Times New Roman" w:cs="Times New Roman" w:hint="eastAsia"/>
          <w:noProof/>
          <w:sz w:val="24"/>
        </w:rPr>
        <w:drawing>
          <wp:inline distT="0" distB="0" distL="114300" distR="114300" wp14:anchorId="1CF221A0" wp14:editId="1CF221A1">
            <wp:extent cx="4645025" cy="4128770"/>
            <wp:effectExtent l="0" t="0" r="3175" b="1270"/>
            <wp:docPr id="7" name="图片 7" descr="Diagnostic_1—Winter-spring cohort_3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iagnostic_1—Winter-spring cohort_3x3"/>
                    <pic:cNvPicPr>
                      <a:picLocks noChangeAspect="1"/>
                    </pic:cNvPicPr>
                  </pic:nvPicPr>
                  <pic:blipFill>
                    <a:blip r:embed="rId10"/>
                    <a:stretch>
                      <a:fillRect/>
                    </a:stretch>
                  </pic:blipFill>
                  <pic:spPr>
                    <a:xfrm>
                      <a:off x="0" y="0"/>
                      <a:ext cx="4645025" cy="4128770"/>
                    </a:xfrm>
                    <a:prstGeom prst="rect">
                      <a:avLst/>
                    </a:prstGeom>
                  </pic:spPr>
                </pic:pic>
              </a:graphicData>
            </a:graphic>
          </wp:inline>
        </w:drawing>
      </w:r>
    </w:p>
    <w:p w14:paraId="1CF2218D" w14:textId="77777777" w:rsidR="00A72648" w:rsidRDefault="00000000">
      <w:pPr>
        <w:rPr>
          <w:rFonts w:ascii="Times New Roman" w:hAnsi="Times New Roman" w:cs="Times New Roman"/>
          <w:sz w:val="24"/>
        </w:rPr>
      </w:pPr>
      <w:r>
        <w:rPr>
          <w:rFonts w:ascii="Times New Roman" w:hAnsi="Times New Roman" w:cs="Times New Roman"/>
          <w:b/>
          <w:bCs/>
          <w:szCs w:val="21"/>
        </w:rPr>
        <w:t xml:space="preserve">Fig. </w:t>
      </w:r>
      <w:r>
        <w:rPr>
          <w:rFonts w:ascii="Times New Roman" w:hAnsi="Times New Roman" w:cs="Times New Roman" w:hint="eastAsia"/>
          <w:b/>
          <w:bCs/>
          <w:szCs w:val="21"/>
        </w:rPr>
        <w:t>4</w:t>
      </w:r>
      <w:r>
        <w:rPr>
          <w:rFonts w:ascii="Times New Roman" w:hAnsi="Times New Roman" w:cs="Times New Roman"/>
          <w:szCs w:val="21"/>
        </w:rPr>
        <w:t xml:space="preserve"> </w:t>
      </w:r>
      <w:r>
        <w:rPr>
          <w:rFonts w:ascii="Times New Roman" w:hAnsi="Times New Roman" w:cs="Times New Roman"/>
        </w:rPr>
        <w:t>Model diagnostic plots (Q-Q plot, histogram of residuals, and plot of residuals versus fitted values) for the winter-spring cohort: (a) GAM, (b) RF, (c) GBM.</w:t>
      </w:r>
    </w:p>
    <w:p w14:paraId="1CF2218E" w14:textId="77777777" w:rsidR="00A72648" w:rsidRDefault="00000000">
      <w:pPr>
        <w:jc w:val="center"/>
        <w:rPr>
          <w:rFonts w:ascii="Times New Roman" w:hAnsi="Times New Roman" w:cs="Times New Roman"/>
          <w:sz w:val="24"/>
        </w:rPr>
      </w:pPr>
      <w:r>
        <w:rPr>
          <w:rStyle w:val="Strong"/>
          <w:rFonts w:ascii="Segoe UI" w:eastAsia="SimSun" w:hAnsi="Segoe UI" w:cs="Segoe UI" w:hint="eastAsia"/>
          <w:bCs/>
          <w:noProof/>
          <w:color w:val="0F1115"/>
          <w:sz w:val="19"/>
          <w:szCs w:val="19"/>
          <w:shd w:val="clear" w:color="auto" w:fill="FFFFFF"/>
        </w:rPr>
        <w:lastRenderedPageBreak/>
        <w:drawing>
          <wp:inline distT="0" distB="0" distL="114300" distR="114300" wp14:anchorId="1CF221A2" wp14:editId="1CF221A3">
            <wp:extent cx="4225925" cy="3756660"/>
            <wp:effectExtent l="0" t="0" r="10795" b="7620"/>
            <wp:docPr id="8" name="图片 8" descr="Diagnostic_1—Autumn cohort_3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iagnostic_1—Autumn cohort_3x3"/>
                    <pic:cNvPicPr>
                      <a:picLocks noChangeAspect="1"/>
                    </pic:cNvPicPr>
                  </pic:nvPicPr>
                  <pic:blipFill>
                    <a:blip r:embed="rId11"/>
                    <a:stretch>
                      <a:fillRect/>
                    </a:stretch>
                  </pic:blipFill>
                  <pic:spPr>
                    <a:xfrm>
                      <a:off x="0" y="0"/>
                      <a:ext cx="4225925" cy="3756660"/>
                    </a:xfrm>
                    <a:prstGeom prst="rect">
                      <a:avLst/>
                    </a:prstGeom>
                  </pic:spPr>
                </pic:pic>
              </a:graphicData>
            </a:graphic>
          </wp:inline>
        </w:drawing>
      </w:r>
    </w:p>
    <w:p w14:paraId="1CF2218F" w14:textId="77777777" w:rsidR="00A72648" w:rsidRDefault="00000000">
      <w:pPr>
        <w:rPr>
          <w:rFonts w:ascii="Times New Roman" w:hAnsi="Times New Roman" w:cs="Times New Roman"/>
        </w:rPr>
      </w:pPr>
      <w:r>
        <w:rPr>
          <w:rFonts w:ascii="Times New Roman" w:hAnsi="Times New Roman" w:cs="Times New Roman"/>
          <w:b/>
          <w:bCs/>
        </w:rPr>
        <w:t xml:space="preserve">Fig. </w:t>
      </w:r>
      <w:r>
        <w:rPr>
          <w:rFonts w:ascii="Times New Roman" w:hAnsi="Times New Roman" w:cs="Times New Roman" w:hint="eastAsia"/>
          <w:b/>
          <w:bCs/>
        </w:rPr>
        <w:t>5</w:t>
      </w:r>
      <w:r>
        <w:rPr>
          <w:rFonts w:ascii="Times New Roman" w:hAnsi="Times New Roman" w:cs="Times New Roman"/>
        </w:rPr>
        <w:t xml:space="preserve"> Model diagnostic plots (Q-Q plot, histogram of residuals, and plot of residuals versus fitted values) for the autumn cohort: (a) GAM, (b) RF, (c) GBM.</w:t>
      </w:r>
    </w:p>
    <w:p w14:paraId="1CF22190" w14:textId="77777777" w:rsidR="00A72648" w:rsidRDefault="00A72648">
      <w:pPr>
        <w:rPr>
          <w:rFonts w:ascii="Times New Roman" w:hAnsi="Times New Roman" w:cs="Times New Roman"/>
          <w:sz w:val="24"/>
        </w:rPr>
      </w:pPr>
    </w:p>
    <w:p w14:paraId="1CF22191" w14:textId="77777777" w:rsidR="00A72648" w:rsidRDefault="00000000">
      <w:pPr>
        <w:jc w:val="center"/>
        <w:rPr>
          <w:rFonts w:ascii="Times New Roman" w:hAnsi="Times New Roman" w:cs="Times New Roman"/>
          <w:sz w:val="24"/>
        </w:rPr>
      </w:pPr>
      <w:r>
        <w:rPr>
          <w:rStyle w:val="Strong"/>
          <w:rFonts w:ascii="Segoe UI" w:eastAsia="SimSun" w:hAnsi="Segoe UI" w:cs="Segoe UI"/>
          <w:bCs/>
          <w:noProof/>
          <w:color w:val="0F1115"/>
          <w:sz w:val="19"/>
          <w:szCs w:val="19"/>
          <w:shd w:val="clear" w:color="auto" w:fill="FFFFFF"/>
        </w:rPr>
        <w:drawing>
          <wp:inline distT="0" distB="0" distL="114300" distR="114300" wp14:anchorId="1CF221A4" wp14:editId="1CF221A5">
            <wp:extent cx="4529455" cy="3942715"/>
            <wp:effectExtent l="0" t="0" r="0" b="0"/>
            <wp:docPr id="9" name="图片 9" descr="Diagnostic_1—Stock-wide_3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iagnostic_1—Stock-wide_3x3"/>
                    <pic:cNvPicPr>
                      <a:picLocks noChangeAspect="1"/>
                    </pic:cNvPicPr>
                  </pic:nvPicPr>
                  <pic:blipFill>
                    <a:blip r:embed="rId12"/>
                    <a:srcRect l="881" r="922" b="3841"/>
                    <a:stretch>
                      <a:fillRect/>
                    </a:stretch>
                  </pic:blipFill>
                  <pic:spPr>
                    <a:xfrm>
                      <a:off x="0" y="0"/>
                      <a:ext cx="4529455" cy="3942715"/>
                    </a:xfrm>
                    <a:prstGeom prst="rect">
                      <a:avLst/>
                    </a:prstGeom>
                  </pic:spPr>
                </pic:pic>
              </a:graphicData>
            </a:graphic>
          </wp:inline>
        </w:drawing>
      </w:r>
    </w:p>
    <w:p w14:paraId="1CF22192" w14:textId="77777777" w:rsidR="00A72648" w:rsidRDefault="00000000">
      <w:pPr>
        <w:rPr>
          <w:rFonts w:ascii="Times New Roman" w:hAnsi="Times New Roman" w:cs="Times New Roman"/>
          <w:sz w:val="24"/>
        </w:rPr>
      </w:pPr>
      <w:r>
        <w:rPr>
          <w:rStyle w:val="Strong"/>
          <w:rFonts w:ascii="Times New Roman" w:eastAsia="Segoe UI" w:hAnsi="Times New Roman" w:cs="Times New Roman"/>
          <w:bCs/>
          <w:color w:val="0F1115"/>
          <w:szCs w:val="21"/>
          <w:shd w:val="clear" w:color="auto" w:fill="FFFFFF"/>
        </w:rPr>
        <w:t xml:space="preserve">Fig. </w:t>
      </w:r>
      <w:r>
        <w:rPr>
          <w:rStyle w:val="Strong"/>
          <w:rFonts w:ascii="Times New Roman" w:eastAsia="SimSun" w:hAnsi="Times New Roman" w:cs="Times New Roman" w:hint="eastAsia"/>
          <w:bCs/>
          <w:color w:val="0F1115"/>
          <w:szCs w:val="21"/>
          <w:shd w:val="clear" w:color="auto" w:fill="FFFFFF"/>
        </w:rPr>
        <w:t>6</w:t>
      </w:r>
      <w:r>
        <w:rPr>
          <w:rStyle w:val="Strong"/>
          <w:rFonts w:ascii="Times New Roman" w:eastAsia="SimSun" w:hAnsi="Times New Roman" w:cs="Times New Roman"/>
          <w:bCs/>
          <w:color w:val="0F1115"/>
          <w:szCs w:val="21"/>
          <w:shd w:val="clear" w:color="auto" w:fill="FFFFFF"/>
        </w:rPr>
        <w:t xml:space="preserve"> </w:t>
      </w:r>
      <w:r>
        <w:rPr>
          <w:rFonts w:ascii="Times New Roman" w:hAnsi="Times New Roman" w:cs="Times New Roman"/>
          <w:szCs w:val="21"/>
        </w:rPr>
        <w:t>Model diagnostic plots (</w:t>
      </w:r>
      <w:r>
        <w:rPr>
          <w:rFonts w:ascii="Times New Roman" w:hAnsi="Times New Roman" w:cs="Times New Roman"/>
        </w:rPr>
        <w:t xml:space="preserve">Q-Q plot, histogram of residuals, and plot of residuals versus fitted </w:t>
      </w:r>
      <w:r>
        <w:rPr>
          <w:rFonts w:ascii="Times New Roman" w:hAnsi="Times New Roman" w:cs="Times New Roman"/>
        </w:rPr>
        <w:lastRenderedPageBreak/>
        <w:t>values</w:t>
      </w:r>
      <w:r>
        <w:rPr>
          <w:rFonts w:ascii="Times New Roman" w:hAnsi="Times New Roman" w:cs="Times New Roman"/>
          <w:szCs w:val="21"/>
        </w:rPr>
        <w:t>) for the stock-wide: (a) GAM, (b) RF, (c) GBM.</w:t>
      </w:r>
    </w:p>
    <w:p w14:paraId="1CF22193" w14:textId="77777777" w:rsidR="00A72648" w:rsidRDefault="00000000">
      <w:pPr>
        <w:jc w:val="center"/>
        <w:rPr>
          <w:rFonts w:ascii="Times New Roman" w:hAnsi="Times New Roman" w:cs="Times New Roman"/>
          <w:sz w:val="24"/>
        </w:rPr>
      </w:pPr>
      <w:r>
        <w:rPr>
          <w:rFonts w:ascii="Times New Roman" w:hAnsi="Times New Roman" w:cs="Times New Roman" w:hint="eastAsia"/>
          <w:noProof/>
          <w:sz w:val="24"/>
        </w:rPr>
        <w:drawing>
          <wp:inline distT="0" distB="0" distL="114300" distR="114300" wp14:anchorId="1CF221A6" wp14:editId="1CF221A7">
            <wp:extent cx="3239770" cy="3239770"/>
            <wp:effectExtent l="0" t="0" r="6350" b="6350"/>
            <wp:docPr id="4" name="图片 4" descr="Nominal_vs_Standardized_CPUE_Compariso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Nominal_vs_Standardized_CPUE_Comparison-7"/>
                    <pic:cNvPicPr>
                      <a:picLocks noChangeAspect="1"/>
                    </pic:cNvPicPr>
                  </pic:nvPicPr>
                  <pic:blipFill>
                    <a:blip r:embed="rId13"/>
                    <a:stretch>
                      <a:fillRect/>
                    </a:stretch>
                  </pic:blipFill>
                  <pic:spPr>
                    <a:xfrm>
                      <a:off x="0" y="0"/>
                      <a:ext cx="3239770" cy="3239770"/>
                    </a:xfrm>
                    <a:prstGeom prst="rect">
                      <a:avLst/>
                    </a:prstGeom>
                  </pic:spPr>
                </pic:pic>
              </a:graphicData>
            </a:graphic>
          </wp:inline>
        </w:drawing>
      </w:r>
    </w:p>
    <w:p w14:paraId="1CF22194" w14:textId="77777777" w:rsidR="00A72648" w:rsidRDefault="00000000">
      <w:pPr>
        <w:rPr>
          <w:rFonts w:ascii="Times New Roman" w:hAnsi="Times New Roman" w:cs="Times New Roman"/>
          <w:szCs w:val="21"/>
        </w:rPr>
      </w:pPr>
      <w:r>
        <w:rPr>
          <w:rFonts w:ascii="Times New Roman" w:hAnsi="Times New Roman" w:cs="Times New Roman"/>
          <w:b/>
          <w:bCs/>
          <w:szCs w:val="21"/>
        </w:rPr>
        <w:t xml:space="preserve">Fig. </w:t>
      </w:r>
      <w:r>
        <w:rPr>
          <w:rFonts w:ascii="Times New Roman" w:hAnsi="Times New Roman" w:cs="Times New Roman" w:hint="eastAsia"/>
          <w:b/>
          <w:bCs/>
          <w:szCs w:val="21"/>
        </w:rPr>
        <w:t>7</w:t>
      </w:r>
      <w:r>
        <w:rPr>
          <w:rFonts w:ascii="Times New Roman" w:hAnsi="Times New Roman" w:cs="Times New Roman"/>
          <w:szCs w:val="21"/>
        </w:rPr>
        <w:t xml:space="preserve"> Comparison of nominal and standardized CPUE indices for the winter-spring cohort, autumn cohort, and stock-wide of neon flying squid derived from three modeling approaches.</w:t>
      </w:r>
    </w:p>
    <w:p w14:paraId="1CF22195" w14:textId="77777777" w:rsidR="00A72648" w:rsidRDefault="00A72648">
      <w:pPr>
        <w:rPr>
          <w:rFonts w:ascii="Times New Roman" w:hAnsi="Times New Roman" w:cs="Times New Roman"/>
          <w:szCs w:val="21"/>
        </w:rPr>
      </w:pPr>
    </w:p>
    <w:p w14:paraId="1CF22196" w14:textId="77777777" w:rsidR="00A72648" w:rsidRDefault="00000000">
      <w:pPr>
        <w:rPr>
          <w:rFonts w:ascii="Times New Roman" w:hAnsi="Times New Roman" w:cs="Times New Roman"/>
          <w:sz w:val="24"/>
        </w:rPr>
      </w:pPr>
      <w:r>
        <w:rPr>
          <w:rFonts w:ascii="Times New Roman" w:hAnsi="Times New Roman" w:cs="Times New Roman" w:hint="eastAsia"/>
          <w:noProof/>
        </w:rPr>
        <w:drawing>
          <wp:inline distT="0" distB="0" distL="114300" distR="114300" wp14:anchorId="1CF221A8" wp14:editId="1CF221A9">
            <wp:extent cx="5274310" cy="1883410"/>
            <wp:effectExtent l="0" t="0" r="13970" b="6350"/>
            <wp:docPr id="10" name="图片 10" descr="Combined_Correlation_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ombined_Correlation_Heatmap"/>
                    <pic:cNvPicPr>
                      <a:picLocks noChangeAspect="1"/>
                    </pic:cNvPicPr>
                  </pic:nvPicPr>
                  <pic:blipFill>
                    <a:blip r:embed="rId14"/>
                    <a:stretch>
                      <a:fillRect/>
                    </a:stretch>
                  </pic:blipFill>
                  <pic:spPr>
                    <a:xfrm>
                      <a:off x="0" y="0"/>
                      <a:ext cx="5274310" cy="1883410"/>
                    </a:xfrm>
                    <a:prstGeom prst="rect">
                      <a:avLst/>
                    </a:prstGeom>
                  </pic:spPr>
                </pic:pic>
              </a:graphicData>
            </a:graphic>
          </wp:inline>
        </w:drawing>
      </w:r>
    </w:p>
    <w:p w14:paraId="1CF22197" w14:textId="77777777" w:rsidR="00A72648" w:rsidRDefault="00000000">
      <w:pPr>
        <w:rPr>
          <w:rFonts w:ascii="Times New Roman" w:hAnsi="Times New Roman" w:cs="Times New Roman"/>
          <w:szCs w:val="21"/>
        </w:rPr>
      </w:pPr>
      <w:r>
        <w:rPr>
          <w:rFonts w:ascii="Times New Roman" w:hAnsi="Times New Roman" w:cs="Times New Roman"/>
          <w:b/>
          <w:bCs/>
        </w:rPr>
        <w:t xml:space="preserve">Fig. </w:t>
      </w:r>
      <w:r>
        <w:rPr>
          <w:rFonts w:ascii="Times New Roman" w:hAnsi="Times New Roman" w:cs="Times New Roman" w:hint="eastAsia"/>
          <w:b/>
          <w:bCs/>
        </w:rPr>
        <w:t>8</w:t>
      </w:r>
      <w:r>
        <w:rPr>
          <w:rFonts w:ascii="Times New Roman" w:hAnsi="Times New Roman" w:cs="Times New Roman"/>
        </w:rPr>
        <w:t xml:space="preserve"> </w:t>
      </w:r>
      <w:r>
        <w:rPr>
          <w:rFonts w:ascii="Times New Roman" w:eastAsia="Segoe UI" w:hAnsi="Times New Roman" w:cs="Times New Roman"/>
          <w:color w:val="0F1115"/>
          <w:szCs w:val="21"/>
          <w:shd w:val="clear" w:color="auto" w:fill="FFFFFF"/>
        </w:rPr>
        <w:t>Correlation matrices of standardized CPUE indices from the GAM, RF, and GBM models for the three stocks.</w:t>
      </w:r>
    </w:p>
    <w:p w14:paraId="1CF22198" w14:textId="77777777" w:rsidR="00A72648" w:rsidRDefault="00A72648">
      <w:pPr>
        <w:rPr>
          <w:rFonts w:ascii="Times New Roman" w:hAnsi="Times New Roman" w:cs="Times New Roman"/>
          <w:sz w:val="24"/>
        </w:rPr>
      </w:pPr>
    </w:p>
    <w:p w14:paraId="1CF22199" w14:textId="77777777" w:rsidR="00A72648" w:rsidRDefault="00A72648">
      <w:pPr>
        <w:rPr>
          <w:rFonts w:ascii="Times New Roman" w:hAnsi="Times New Roman" w:cs="Times New Roman"/>
          <w:sz w:val="24"/>
        </w:rPr>
      </w:pPr>
    </w:p>
    <w:sectPr w:rsidR="00A72648">
      <w:headerReference w:type="first" r:id="rId15"/>
      <w:footerReference w:type="first" r:id="rId16"/>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3FF2" w14:textId="77777777" w:rsidR="00023E13" w:rsidRDefault="00023E13">
      <w:r>
        <w:separator/>
      </w:r>
    </w:p>
  </w:endnote>
  <w:endnote w:type="continuationSeparator" w:id="0">
    <w:p w14:paraId="295D49BE" w14:textId="77777777" w:rsidR="00023E13" w:rsidRDefault="0002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yriad Pro">
    <w:altName w:val="Verdana"/>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21AB" w14:textId="77777777" w:rsidR="00A72648" w:rsidRDefault="00000000">
    <w:pPr>
      <w:pStyle w:val="Footer"/>
    </w:pPr>
    <w:r>
      <w:rPr>
        <w:noProof/>
        <w:sz w:val="14"/>
        <w:szCs w:val="14"/>
        <w:lang w:eastAsia="en-US"/>
      </w:rPr>
      <mc:AlternateContent>
        <mc:Choice Requires="wps">
          <w:drawing>
            <wp:anchor distT="0" distB="0" distL="114300" distR="114300" simplePos="0" relativeHeight="251662336" behindDoc="0" locked="0" layoutInCell="1" allowOverlap="1" wp14:anchorId="1CF221B0" wp14:editId="1CF221B1">
              <wp:simplePos x="0" y="0"/>
              <wp:positionH relativeFrom="margin">
                <wp:posOffset>3952875</wp:posOffset>
              </wp:positionH>
              <wp:positionV relativeFrom="paragraph">
                <wp:posOffset>-67310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221B7" w14:textId="77777777" w:rsidR="00A72648" w:rsidRDefault="00000000">
                          <w:pPr>
                            <w:rPr>
                              <w:rFonts w:ascii="Myriad Pro" w:hAnsi="Myriad Pro"/>
                              <w:color w:val="595959"/>
                              <w:sz w:val="14"/>
                              <w:szCs w:val="14"/>
                            </w:rPr>
                          </w:pPr>
                          <w:r>
                            <w:rPr>
                              <w:rFonts w:ascii="Myriad Pro" w:hAnsi="Myriad Pro"/>
                              <w:b/>
                              <w:color w:val="1B7CBF"/>
                              <w:sz w:val="14"/>
                              <w:szCs w:val="14"/>
                            </w:rPr>
                            <w:t>TEL</w:t>
                          </w:r>
                          <w:r>
                            <w:rPr>
                              <w:rFonts w:ascii="Myriad Pro" w:hAnsi="Myriad Pro"/>
                              <w:color w:val="595959"/>
                              <w:sz w:val="14"/>
                              <w:szCs w:val="14"/>
                            </w:rPr>
                            <w:tab/>
                            <w:t>+81-3-5479-8717</w:t>
                          </w:r>
                        </w:p>
                        <w:p w14:paraId="1CF221B8" w14:textId="77777777" w:rsidR="00A72648" w:rsidRDefault="00000000">
                          <w:pPr>
                            <w:rPr>
                              <w:rFonts w:ascii="Myriad Pro" w:hAnsi="Myriad Pro"/>
                              <w:color w:val="595959"/>
                              <w:sz w:val="14"/>
                              <w:szCs w:val="14"/>
                            </w:rPr>
                          </w:pPr>
                          <w:r>
                            <w:rPr>
                              <w:rFonts w:ascii="Myriad Pro" w:hAnsi="Myriad Pro" w:hint="eastAsia"/>
                              <w:b/>
                              <w:color w:val="1B7CBF"/>
                              <w:sz w:val="14"/>
                              <w:szCs w:val="14"/>
                            </w:rPr>
                            <w:t>FAX</w:t>
                          </w:r>
                          <w:r>
                            <w:rPr>
                              <w:rFonts w:ascii="Myriad Pro" w:hAnsi="Myriad Pro"/>
                              <w:color w:val="595959"/>
                              <w:sz w:val="14"/>
                              <w:szCs w:val="14"/>
                            </w:rPr>
                            <w:tab/>
                            <w:t>+81-3-5479-8718</w:t>
                          </w:r>
                        </w:p>
                        <w:p w14:paraId="1CF221B9" w14:textId="77777777" w:rsidR="00A72648" w:rsidRDefault="00000000">
                          <w:pPr>
                            <w:rPr>
                              <w:rFonts w:ascii="Myriad Pro" w:hAnsi="Myriad Pro"/>
                              <w:color w:val="595959"/>
                              <w:sz w:val="14"/>
                              <w:szCs w:val="14"/>
                            </w:rPr>
                          </w:pPr>
                          <w:r>
                            <w:rPr>
                              <w:rFonts w:ascii="Myriad Pro" w:hAnsi="Myriad Pro" w:hint="eastAsia"/>
                              <w:b/>
                              <w:color w:val="1B7CBF"/>
                              <w:sz w:val="14"/>
                              <w:szCs w:val="14"/>
                            </w:rPr>
                            <w:t>Email</w:t>
                          </w:r>
                          <w:r>
                            <w:rPr>
                              <w:rFonts w:ascii="Myriad Pro" w:hAnsi="Myriad Pro"/>
                              <w:color w:val="595959"/>
                              <w:sz w:val="14"/>
                              <w:szCs w:val="14"/>
                            </w:rPr>
                            <w:tab/>
                            <w:t>secretariat@npfc.int</w:t>
                          </w:r>
                        </w:p>
                        <w:p w14:paraId="1CF221BA" w14:textId="77777777" w:rsidR="00A72648" w:rsidRDefault="00000000">
                          <w:pPr>
                            <w:rPr>
                              <w:rFonts w:ascii="Myriad Pro" w:hAnsi="Myriad Pro"/>
                              <w:color w:val="595959"/>
                              <w:sz w:val="14"/>
                              <w:szCs w:val="14"/>
                            </w:rPr>
                          </w:pPr>
                          <w:r>
                            <w:rPr>
                              <w:rFonts w:ascii="Myriad Pro" w:hAnsi="Myriad Pro"/>
                              <w:b/>
                              <w:color w:val="1B7CBF"/>
                              <w:sz w:val="14"/>
                              <w:szCs w:val="14"/>
                            </w:rPr>
                            <w:t>Web</w:t>
                          </w:r>
                          <w:r>
                            <w:rPr>
                              <w:rFonts w:ascii="Myriad Pro" w:hAnsi="Myriad Pro"/>
                              <w:color w:val="595959"/>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1CF221B0" id="_x0000_t202" coordsize="21600,21600" o:spt="202" path="m,l,21600r21600,l21600,xe">
              <v:stroke joinstyle="miter"/>
              <v:path gradientshapeok="t" o:connecttype="rect"/>
            </v:shapetype>
            <v:shape id="テキスト ボックス 17" o:spid="_x0000_s1027" type="#_x0000_t202" style="position:absolute;left:0;text-align:left;margin-left:311.25pt;margin-top:-5.3pt;width:130.5pt;height:54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" filled="f" stroked="f" strokeweight=".5pt">
              <v:textbox style="mso-fit-shape-to-text:t">
                <w:txbxContent>
                  <w:p w14:paraId="1CF221B7" w14:textId="77777777" w:rsidR="00A72648" w:rsidRDefault="00000000">
                    <w:pPr>
                      <w:rPr>
                        <w:rFonts w:ascii="Myriad Pro" w:hAnsi="Myriad Pro"/>
                        <w:color w:val="595959"/>
                        <w:sz w:val="14"/>
                        <w:szCs w:val="14"/>
                      </w:rPr>
                    </w:pPr>
                    <w:r>
                      <w:rPr>
                        <w:rFonts w:ascii="Myriad Pro" w:hAnsi="Myriad Pro"/>
                        <w:b/>
                        <w:color w:val="1B7CBF"/>
                        <w:sz w:val="14"/>
                        <w:szCs w:val="14"/>
                      </w:rPr>
                      <w:t>TEL</w:t>
                    </w:r>
                    <w:r>
                      <w:rPr>
                        <w:rFonts w:ascii="Myriad Pro" w:hAnsi="Myriad Pro"/>
                        <w:color w:val="595959"/>
                        <w:sz w:val="14"/>
                        <w:szCs w:val="14"/>
                      </w:rPr>
                      <w:tab/>
                      <w:t>+81-3-5479-8717</w:t>
                    </w:r>
                  </w:p>
                  <w:p w14:paraId="1CF221B8" w14:textId="77777777" w:rsidR="00A72648" w:rsidRDefault="00000000">
                    <w:pPr>
                      <w:rPr>
                        <w:rFonts w:ascii="Myriad Pro" w:hAnsi="Myriad Pro"/>
                        <w:color w:val="595959"/>
                        <w:sz w:val="14"/>
                        <w:szCs w:val="14"/>
                      </w:rPr>
                    </w:pPr>
                    <w:r>
                      <w:rPr>
                        <w:rFonts w:ascii="Myriad Pro" w:hAnsi="Myriad Pro" w:hint="eastAsia"/>
                        <w:b/>
                        <w:color w:val="1B7CBF"/>
                        <w:sz w:val="14"/>
                        <w:szCs w:val="14"/>
                      </w:rPr>
                      <w:t>FAX</w:t>
                    </w:r>
                    <w:r>
                      <w:rPr>
                        <w:rFonts w:ascii="Myriad Pro" w:hAnsi="Myriad Pro"/>
                        <w:color w:val="595959"/>
                        <w:sz w:val="14"/>
                        <w:szCs w:val="14"/>
                      </w:rPr>
                      <w:tab/>
                      <w:t>+81-3-5479-8718</w:t>
                    </w:r>
                  </w:p>
                  <w:p w14:paraId="1CF221B9" w14:textId="77777777" w:rsidR="00A72648" w:rsidRDefault="00000000">
                    <w:pPr>
                      <w:rPr>
                        <w:rFonts w:ascii="Myriad Pro" w:hAnsi="Myriad Pro"/>
                        <w:color w:val="595959"/>
                        <w:sz w:val="14"/>
                        <w:szCs w:val="14"/>
                      </w:rPr>
                    </w:pPr>
                    <w:r>
                      <w:rPr>
                        <w:rFonts w:ascii="Myriad Pro" w:hAnsi="Myriad Pro" w:hint="eastAsia"/>
                        <w:b/>
                        <w:color w:val="1B7CBF"/>
                        <w:sz w:val="14"/>
                        <w:szCs w:val="14"/>
                      </w:rPr>
                      <w:t>Email</w:t>
                    </w:r>
                    <w:r>
                      <w:rPr>
                        <w:rFonts w:ascii="Myriad Pro" w:hAnsi="Myriad Pro"/>
                        <w:color w:val="595959"/>
                        <w:sz w:val="14"/>
                        <w:szCs w:val="14"/>
                      </w:rPr>
                      <w:tab/>
                      <w:t>secretariat@npfc.int</w:t>
                    </w:r>
                  </w:p>
                  <w:p w14:paraId="1CF221BA" w14:textId="77777777" w:rsidR="00A72648" w:rsidRDefault="00000000">
                    <w:pPr>
                      <w:rPr>
                        <w:rFonts w:ascii="Myriad Pro" w:hAnsi="Myriad Pro"/>
                        <w:color w:val="595959"/>
                        <w:sz w:val="14"/>
                        <w:szCs w:val="14"/>
                      </w:rPr>
                    </w:pPr>
                    <w:r>
                      <w:rPr>
                        <w:rFonts w:ascii="Myriad Pro" w:hAnsi="Myriad Pro"/>
                        <w:b/>
                        <w:color w:val="1B7CBF"/>
                        <w:sz w:val="14"/>
                        <w:szCs w:val="14"/>
                      </w:rPr>
                      <w:t>Web</w:t>
                    </w:r>
                    <w:r>
                      <w:rPr>
                        <w:rFonts w:ascii="Myriad Pro" w:hAnsi="Myriad Pro"/>
                        <w:color w:val="595959"/>
                        <w:sz w:val="14"/>
                        <w:szCs w:val="14"/>
                      </w:rPr>
                      <w:tab/>
                      <w:t>www.npfc.int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61312" behindDoc="0" locked="0" layoutInCell="1" allowOverlap="1" wp14:anchorId="1CF221B2" wp14:editId="1CF221B3">
              <wp:simplePos x="0" y="0"/>
              <wp:positionH relativeFrom="margin">
                <wp:posOffset>-423545</wp:posOffset>
              </wp:positionH>
              <wp:positionV relativeFrom="paragraph">
                <wp:posOffset>-67310</wp:posOffset>
              </wp:positionV>
              <wp:extent cx="2647950" cy="685800"/>
              <wp:effectExtent l="0" t="0" r="0" b="3175"/>
              <wp:wrapNone/>
              <wp:docPr id="1296558848"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221BB" w14:textId="77777777" w:rsidR="00A72648" w:rsidRDefault="00000000">
                          <w:pPr>
                            <w:rPr>
                              <w:rFonts w:ascii="Myriad Pro" w:hAnsi="Myriad Pro"/>
                              <w:color w:val="595959"/>
                              <w:sz w:val="14"/>
                              <w:szCs w:val="14"/>
                            </w:rPr>
                          </w:pPr>
                          <w:r>
                            <w:rPr>
                              <w:rFonts w:ascii="Myriad Pro" w:hAnsi="Myriad Pro"/>
                              <w:color w:val="595959"/>
                              <w:sz w:val="14"/>
                              <w:szCs w:val="14"/>
                            </w:rPr>
                            <w:t xml:space="preserve">2nd Floor </w:t>
                          </w:r>
                          <w:proofErr w:type="spellStart"/>
                          <w:r>
                            <w:rPr>
                              <w:rFonts w:ascii="Myriad Pro" w:hAnsi="Myriad Pro"/>
                              <w:color w:val="595959"/>
                              <w:sz w:val="14"/>
                              <w:szCs w:val="14"/>
                            </w:rPr>
                            <w:t>Hakuyo</w:t>
                          </w:r>
                          <w:proofErr w:type="spellEnd"/>
                          <w:r>
                            <w:rPr>
                              <w:rFonts w:ascii="Myriad Pro" w:hAnsi="Myriad Pro"/>
                              <w:color w:val="595959"/>
                              <w:sz w:val="14"/>
                              <w:szCs w:val="14"/>
                            </w:rPr>
                            <w:t xml:space="preserve"> Hall</w:t>
                          </w:r>
                        </w:p>
                        <w:p w14:paraId="1CF221BC" w14:textId="77777777" w:rsidR="00A72648" w:rsidRDefault="00000000">
                          <w:pPr>
                            <w:rPr>
                              <w:rFonts w:ascii="Myriad Pro" w:hAnsi="Myriad Pro"/>
                              <w:color w:val="595959"/>
                              <w:sz w:val="14"/>
                              <w:szCs w:val="14"/>
                            </w:rPr>
                          </w:pPr>
                          <w:r>
                            <w:rPr>
                              <w:rFonts w:ascii="Myriad Pro" w:hAnsi="Myriad Pro"/>
                              <w:color w:val="595959"/>
                              <w:sz w:val="14"/>
                              <w:szCs w:val="14"/>
                            </w:rPr>
                            <w:t>Tokyo University of Marine Science and Technology</w:t>
                          </w:r>
                        </w:p>
                        <w:p w14:paraId="1CF221BD" w14:textId="77777777" w:rsidR="00A72648" w:rsidRDefault="00000000">
                          <w:pPr>
                            <w:rPr>
                              <w:rFonts w:ascii="Myriad Pro" w:hAnsi="Myriad Pro"/>
                              <w:color w:val="595959"/>
                              <w:sz w:val="14"/>
                              <w:szCs w:val="14"/>
                            </w:rPr>
                          </w:pPr>
                          <w:r>
                            <w:rPr>
                              <w:rFonts w:ascii="Myriad Pro" w:hAnsi="Myriad Pro"/>
                              <w:color w:val="595959"/>
                              <w:sz w:val="14"/>
                              <w:szCs w:val="14"/>
                            </w:rPr>
                            <w:t>4-5-7 Konan, Minato-ku, Tokyo</w:t>
                          </w:r>
                        </w:p>
                        <w:p w14:paraId="1CF221BE" w14:textId="77777777" w:rsidR="00A72648" w:rsidRDefault="00000000">
                          <w:pPr>
                            <w:rPr>
                              <w:rFonts w:ascii="Myriad Pro" w:hAnsi="Myriad Pro"/>
                              <w:color w:val="595959"/>
                              <w:sz w:val="14"/>
                              <w:szCs w:val="14"/>
                            </w:rPr>
                          </w:pPr>
                          <w:r>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w14:anchorId="1CF221B2" id="テキスト ボックス 6" o:spid="_x0000_s1028" type="#_x0000_t202" style="position:absolute;left:0;text-align:left;margin-left:-33.35pt;margin-top:-5.3pt;width:208.5pt;height:54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" filled="f" stroked="f" strokeweight=".5pt">
              <v:textbox style="mso-fit-shape-to-text:t">
                <w:txbxContent>
                  <w:p w14:paraId="1CF221BB" w14:textId="77777777" w:rsidR="00A72648" w:rsidRDefault="00000000">
                    <w:pPr>
                      <w:rPr>
                        <w:rFonts w:ascii="Myriad Pro" w:hAnsi="Myriad Pro"/>
                        <w:color w:val="595959"/>
                        <w:sz w:val="14"/>
                        <w:szCs w:val="14"/>
                      </w:rPr>
                    </w:pPr>
                    <w:r>
                      <w:rPr>
                        <w:rFonts w:ascii="Myriad Pro" w:hAnsi="Myriad Pro"/>
                        <w:color w:val="595959"/>
                        <w:sz w:val="14"/>
                        <w:szCs w:val="14"/>
                      </w:rPr>
                      <w:t xml:space="preserve">2nd Floor </w:t>
                    </w:r>
                    <w:proofErr w:type="spellStart"/>
                    <w:r>
                      <w:rPr>
                        <w:rFonts w:ascii="Myriad Pro" w:hAnsi="Myriad Pro"/>
                        <w:color w:val="595959"/>
                        <w:sz w:val="14"/>
                        <w:szCs w:val="14"/>
                      </w:rPr>
                      <w:t>Hakuyo</w:t>
                    </w:r>
                    <w:proofErr w:type="spellEnd"/>
                    <w:r>
                      <w:rPr>
                        <w:rFonts w:ascii="Myriad Pro" w:hAnsi="Myriad Pro"/>
                        <w:color w:val="595959"/>
                        <w:sz w:val="14"/>
                        <w:szCs w:val="14"/>
                      </w:rPr>
                      <w:t xml:space="preserve"> Hall</w:t>
                    </w:r>
                  </w:p>
                  <w:p w14:paraId="1CF221BC" w14:textId="77777777" w:rsidR="00A72648" w:rsidRDefault="00000000">
                    <w:pPr>
                      <w:rPr>
                        <w:rFonts w:ascii="Myriad Pro" w:hAnsi="Myriad Pro"/>
                        <w:color w:val="595959"/>
                        <w:sz w:val="14"/>
                        <w:szCs w:val="14"/>
                      </w:rPr>
                    </w:pPr>
                    <w:r>
                      <w:rPr>
                        <w:rFonts w:ascii="Myriad Pro" w:hAnsi="Myriad Pro"/>
                        <w:color w:val="595959"/>
                        <w:sz w:val="14"/>
                        <w:szCs w:val="14"/>
                      </w:rPr>
                      <w:t>Tokyo University of Marine Science and Technology</w:t>
                    </w:r>
                  </w:p>
                  <w:p w14:paraId="1CF221BD" w14:textId="77777777" w:rsidR="00A72648" w:rsidRDefault="00000000">
                    <w:pPr>
                      <w:rPr>
                        <w:rFonts w:ascii="Myriad Pro" w:hAnsi="Myriad Pro"/>
                        <w:color w:val="595959"/>
                        <w:sz w:val="14"/>
                        <w:szCs w:val="14"/>
                      </w:rPr>
                    </w:pPr>
                    <w:r>
                      <w:rPr>
                        <w:rFonts w:ascii="Myriad Pro" w:hAnsi="Myriad Pro"/>
                        <w:color w:val="595959"/>
                        <w:sz w:val="14"/>
                        <w:szCs w:val="14"/>
                      </w:rPr>
                      <w:t>4-5-7 Konan, Minato-ku, Tokyo</w:t>
                    </w:r>
                  </w:p>
                  <w:p w14:paraId="1CF221BE" w14:textId="77777777" w:rsidR="00A72648" w:rsidRDefault="00000000">
                    <w:pPr>
                      <w:rPr>
                        <w:rFonts w:ascii="Myriad Pro" w:hAnsi="Myriad Pro"/>
                        <w:color w:val="595959"/>
                        <w:sz w:val="14"/>
                        <w:szCs w:val="14"/>
                      </w:rPr>
                    </w:pPr>
                    <w:r>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3360" behindDoc="1" locked="0" layoutInCell="1" allowOverlap="1" wp14:anchorId="1CF221B4" wp14:editId="1CF221B5">
              <wp:simplePos x="0" y="0"/>
              <wp:positionH relativeFrom="margin">
                <wp:posOffset>-367665</wp:posOffset>
              </wp:positionH>
              <wp:positionV relativeFrom="paragraph">
                <wp:posOffset>509270</wp:posOffset>
              </wp:positionV>
              <wp:extent cx="6002020" cy="66675"/>
              <wp:effectExtent l="0" t="0" r="0" b="9525"/>
              <wp:wrapNone/>
              <wp:docPr id="1964157511"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270775933" name="正方形/長方形 8"/>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903071458" name="図 13"/>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4018823" y="-2"/>
                          <a:ext cx="2225625" cy="110696"/>
                        </a:xfrm>
                        <a:prstGeom prst="rect">
                          <a:avLst/>
                        </a:prstGeom>
                        <a:solidFill>
                          <a:srgbClr val="0B75A7"/>
                        </a:solidFill>
                        <a:ln>
                          <a:noFill/>
                        </a:ln>
                      </pic:spPr>
                    </pic:pic>
                    <wps:wsp>
                      <wps:cNvPr id="1698587440" name="正方形/長方形 14"/>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231E35D3" id="グループ化 19" o:spid="_x0000_s1026" style="position:absolute;margin-left:-28.95pt;margin-top:40.1pt;width:472.6pt;height:5.25pt;z-index:-251653120;mso-position-horizontal-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" filled="t" fillcolor="#0b75a7">
                <v:imagedata r:id="rId2" o:title=""/>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34FFA" w14:textId="77777777" w:rsidR="00023E13" w:rsidRDefault="00023E13">
      <w:r>
        <w:separator/>
      </w:r>
    </w:p>
  </w:footnote>
  <w:footnote w:type="continuationSeparator" w:id="0">
    <w:p w14:paraId="48F988AF" w14:textId="77777777" w:rsidR="00023E13" w:rsidRDefault="00023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21AA" w14:textId="77777777" w:rsidR="00A72648" w:rsidRDefault="00000000">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1CF221AC" wp14:editId="1CF221AD">
              <wp:simplePos x="0" y="0"/>
              <wp:positionH relativeFrom="margin">
                <wp:posOffset>989330</wp:posOffset>
              </wp:positionH>
              <wp:positionV relativeFrom="paragraph">
                <wp:posOffset>378460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CF221B6" w14:textId="77777777" w:rsidR="00A72648" w:rsidRDefault="00000000">
                          <w:pPr>
                            <w:adjustRightInd w:val="0"/>
                            <w:snapToGrid w:val="0"/>
                            <w:spacing w:line="200" w:lineRule="exact"/>
                            <w:jc w:val="center"/>
                            <w:rPr>
                              <w:rFonts w:ascii="Myriad Pro" w:hAnsi="Myriad Pro"/>
                              <w:b/>
                              <w:color w:val="0E588C"/>
                              <w:sz w:val="20"/>
                              <w:szCs w:val="20"/>
                            </w:rPr>
                          </w:pPr>
                          <w:r>
                            <w:rPr>
                              <w:rFonts w:ascii="Myriad Pro" w:hAnsi="Myriad Pro"/>
                              <w:b/>
                              <w:color w:val="0E588C"/>
                              <w:sz w:val="20"/>
                              <w:szCs w:val="20"/>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CF221AC" id="_x0000_t202" coordsize="21600,21600" o:spt="202" path="m,l,21600r21600,l21600,xe">
              <v:stroke joinstyle="miter"/>
              <v:path gradientshapeok="t" o:connecttype="rect"/>
            </v:shapetype>
            <v:shape id="テキスト ボックス 15" o:spid="_x0000_s1026" type="#_x0000_t202" style="position:absolute;left:0;text-align:left;margin-left:77.9pt;margin-top:29.8pt;width:266.25pt;height:18.75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" o:allowoverlap="f" filled="f" stroked="f" strokeweight=".5pt">
              <v:textbox>
                <w:txbxContent>
                  <w:p w14:paraId="1CF221B6" w14:textId="77777777" w:rsidR="00A72648" w:rsidRDefault="00000000">
                    <w:pPr>
                      <w:adjustRightInd w:val="0"/>
                      <w:snapToGrid w:val="0"/>
                      <w:spacing w:line="200" w:lineRule="exact"/>
                      <w:jc w:val="center"/>
                      <w:rPr>
                        <w:rFonts w:ascii="Myriad Pro" w:hAnsi="Myriad Pro"/>
                        <w:b/>
                        <w:color w:val="0E588C"/>
                        <w:sz w:val="20"/>
                        <w:szCs w:val="20"/>
                      </w:rPr>
                    </w:pPr>
                    <w:r>
                      <w:rPr>
                        <w:rFonts w:ascii="Myriad Pro" w:hAnsi="Myriad Pro"/>
                        <w:b/>
                        <w:color w:val="0E588C"/>
                        <w:sz w:val="20"/>
                        <w:szCs w:val="20"/>
                      </w:rPr>
                      <w:t>North Pacific Fisheries 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1CF221AE" wp14:editId="1CF221AF">
          <wp:simplePos x="0" y="0"/>
          <wp:positionH relativeFrom="margin">
            <wp:posOffset>2151380</wp:posOffset>
          </wp:positionH>
          <wp:positionV relativeFrom="paragraph">
            <wp:posOffset>-395605</wp:posOffset>
          </wp:positionV>
          <wp:extent cx="1047750" cy="770255"/>
          <wp:effectExtent l="0" t="0" r="0" b="0"/>
          <wp:wrapNone/>
          <wp:docPr id="122035930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59303"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65F0155"/>
    <w:rsid w:val="00023E13"/>
    <w:rsid w:val="00042C91"/>
    <w:rsid w:val="00076024"/>
    <w:rsid w:val="00084946"/>
    <w:rsid w:val="00266512"/>
    <w:rsid w:val="002E7228"/>
    <w:rsid w:val="003B649C"/>
    <w:rsid w:val="003D4EFA"/>
    <w:rsid w:val="00426733"/>
    <w:rsid w:val="005A1ACD"/>
    <w:rsid w:val="009909F3"/>
    <w:rsid w:val="00A72648"/>
    <w:rsid w:val="00AA72FB"/>
    <w:rsid w:val="00AC57D0"/>
    <w:rsid w:val="265F0155"/>
    <w:rsid w:val="480B1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21F4C"/>
  <w15:docId w15:val="{CDBD1E92-F58B-46B2-9767-1C980EA2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1">
    <w:name w:val="heading 1"/>
    <w:basedOn w:val="Normal"/>
    <w:next w:val="Normal"/>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680"/>
        <w:tab w:val="right" w:pos="9360"/>
      </w:tabs>
    </w:pPr>
  </w:style>
  <w:style w:type="paragraph" w:styleId="Header">
    <w:name w:val="header"/>
    <w:basedOn w:val="Normal"/>
    <w:link w:val="HeaderChar"/>
    <w:qFormat/>
    <w:pPr>
      <w:tabs>
        <w:tab w:val="center" w:pos="4680"/>
        <w:tab w:val="right" w:pos="936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paragraph" w:styleId="NormalWeb">
    <w:name w:val="Normal (Web)"/>
    <w:basedOn w:val="Normal"/>
    <w:qFormat/>
    <w:rPr>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TMLCode">
    <w:name w:val="HTML Code"/>
    <w:basedOn w:val="DefaultParagraphFont"/>
    <w:qFormat/>
    <w:rPr>
      <w:rFonts w:ascii="Courier New" w:hAnsi="Courier New"/>
      <w:sz w:val="20"/>
    </w:rPr>
  </w:style>
  <w:style w:type="character" w:customStyle="1" w:styleId="HeaderChar">
    <w:name w:val="Header Char"/>
    <w:basedOn w:val="DefaultParagraphFont"/>
    <w:link w:val="Header"/>
    <w:qFormat/>
    <w:rPr>
      <w:rFonts w:asciiTheme="minorHAnsi" w:eastAsiaTheme="minorEastAsia" w:hAnsiTheme="minorHAnsi" w:cstheme="minorBidi"/>
      <w:kern w:val="2"/>
      <w:sz w:val="21"/>
      <w:szCs w:val="24"/>
    </w:rPr>
  </w:style>
  <w:style w:type="character" w:customStyle="1" w:styleId="FooterChar">
    <w:name w:val="Footer Char"/>
    <w:basedOn w:val="DefaultParagraphFont"/>
    <w:link w:val="Footer"/>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2644</Words>
  <Characters>14860</Characters>
  <Application>Microsoft Office Word</Application>
  <DocSecurity>0</DocSecurity>
  <Lines>675</Lines>
  <Paragraphs>514</Paragraphs>
  <ScaleCrop>false</ScaleCrop>
  <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宋明艳</dc:creator>
  <cp:lastModifiedBy>Aleksandr Zavolokin</cp:lastModifiedBy>
  <cp:revision>7</cp:revision>
  <dcterms:created xsi:type="dcterms:W3CDTF">2026-02-08T15:02:00Z</dcterms:created>
  <dcterms:modified xsi:type="dcterms:W3CDTF">2026-03-02T06:37:00Z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403A56BAB00149D190D04EDB5981EA4C_13</vt:lpwstr>
  </property>
  <property fmtid="{D5CDD505-2E9C-101B-9397-08002B2CF9AE}" pid="4" name="KSOTemplateDocerSaveRecord">
    <vt:lpwstr>eyJoZGlkIjoiYjYxY2Y0ZDEwMmU2ODU0MWZhNzlmMzg3MDMxZWVkNmEiLCJ1c2VySWQiOiIxMDQ5NDk1MzY4In0=</vt:lpwstr>
  </property>
</Properties>
</file>