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E6A97" w14:textId="012526F7" w:rsidR="00E8004D" w:rsidRPr="00467004" w:rsidRDefault="00E91E89" w:rsidP="00F32B7D">
      <w:pPr>
        <w:spacing w:before="240"/>
        <w:jc w:val="right"/>
        <w:rPr>
          <w:rFonts w:asciiTheme="majorHAnsi" w:hAnsiTheme="majorHAnsi" w:cstheme="majorHAnsi"/>
          <w:sz w:val="22"/>
        </w:rPr>
      </w:pPr>
      <w:r w:rsidRPr="00467004">
        <w:rPr>
          <w:rFonts w:asciiTheme="majorHAnsi" w:hAnsiTheme="majorHAnsi" w:cstheme="majorHAnsi"/>
          <w:sz w:val="22"/>
        </w:rPr>
        <w:t>NPFC-20</w:t>
      </w:r>
      <w:r w:rsidR="00F626AE" w:rsidRPr="00467004">
        <w:rPr>
          <w:rFonts w:asciiTheme="majorHAnsi" w:hAnsiTheme="majorHAnsi" w:cstheme="majorHAnsi"/>
          <w:sz w:val="22"/>
        </w:rPr>
        <w:t>25</w:t>
      </w:r>
      <w:r w:rsidRPr="00467004">
        <w:rPr>
          <w:rFonts w:asciiTheme="majorHAnsi" w:hAnsiTheme="majorHAnsi" w:cstheme="majorHAnsi"/>
          <w:sz w:val="22"/>
        </w:rPr>
        <w:t>-</w:t>
      </w:r>
      <w:r w:rsidR="00591EC0" w:rsidRPr="00467004">
        <w:rPr>
          <w:rFonts w:asciiTheme="majorHAnsi" w:hAnsiTheme="majorHAnsi" w:cstheme="majorHAnsi"/>
          <w:sz w:val="22"/>
        </w:rPr>
        <w:t>S</w:t>
      </w:r>
      <w:r w:rsidR="00F626AE" w:rsidRPr="00467004">
        <w:rPr>
          <w:rFonts w:asciiTheme="majorHAnsi" w:hAnsiTheme="majorHAnsi" w:cstheme="majorHAnsi"/>
          <w:sz w:val="22"/>
        </w:rPr>
        <w:t>S</w:t>
      </w:r>
      <w:r w:rsidR="00591EC0" w:rsidRPr="00467004">
        <w:rPr>
          <w:rFonts w:asciiTheme="majorHAnsi" w:hAnsiTheme="majorHAnsi" w:cstheme="majorHAnsi"/>
          <w:sz w:val="22"/>
        </w:rPr>
        <w:t>C</w:t>
      </w:r>
      <w:r w:rsidR="00F626AE" w:rsidRPr="00467004">
        <w:rPr>
          <w:rFonts w:asciiTheme="majorHAnsi" w:hAnsiTheme="majorHAnsi" w:cstheme="majorHAnsi"/>
          <w:sz w:val="22"/>
        </w:rPr>
        <w:t xml:space="preserve"> BFME</w:t>
      </w:r>
      <w:r w:rsidR="00591EC0" w:rsidRPr="00467004">
        <w:rPr>
          <w:rFonts w:asciiTheme="majorHAnsi" w:hAnsiTheme="majorHAnsi" w:cstheme="majorHAnsi"/>
          <w:sz w:val="22"/>
        </w:rPr>
        <w:t>0</w:t>
      </w:r>
      <w:r w:rsidR="00F626AE" w:rsidRPr="00467004">
        <w:rPr>
          <w:rFonts w:asciiTheme="majorHAnsi" w:hAnsiTheme="majorHAnsi" w:cstheme="majorHAnsi"/>
          <w:sz w:val="22"/>
        </w:rPr>
        <w:t>6</w:t>
      </w:r>
      <w:r w:rsidRPr="00467004">
        <w:rPr>
          <w:rFonts w:asciiTheme="majorHAnsi" w:hAnsiTheme="majorHAnsi" w:cstheme="majorHAnsi"/>
          <w:sz w:val="22"/>
        </w:rPr>
        <w:t>-WP</w:t>
      </w:r>
      <w:r w:rsidR="00054FAC" w:rsidRPr="00054FAC">
        <w:rPr>
          <w:rFonts w:asciiTheme="majorHAnsi" w:hAnsiTheme="majorHAnsi" w:cstheme="majorHAnsi"/>
          <w:sz w:val="22"/>
        </w:rPr>
        <w:t>14</w:t>
      </w:r>
    </w:p>
    <w:p w14:paraId="6DABEBC2" w14:textId="77777777" w:rsidR="00FD2C0B" w:rsidRDefault="00FD2C0B" w:rsidP="00B14F50">
      <w:pPr>
        <w:rPr>
          <w:rFonts w:asciiTheme="majorHAnsi" w:hAnsiTheme="majorHAnsi" w:cstheme="majorHAnsi"/>
          <w:sz w:val="22"/>
        </w:rPr>
      </w:pPr>
    </w:p>
    <w:p w14:paraId="1BA8B36F" w14:textId="49B198E4" w:rsidR="00467004" w:rsidRPr="0010024F" w:rsidRDefault="00467004" w:rsidP="00467004">
      <w:pPr>
        <w:rPr>
          <w:rFonts w:asciiTheme="majorHAnsi" w:hAnsiTheme="majorHAnsi" w:cstheme="majorHAnsi"/>
          <w:b/>
          <w:bCs/>
          <w:sz w:val="28"/>
          <w:szCs w:val="28"/>
        </w:rPr>
      </w:pPr>
      <w:r w:rsidRPr="0010024F">
        <w:rPr>
          <w:rFonts w:asciiTheme="majorHAnsi" w:hAnsiTheme="majorHAnsi" w:cstheme="majorHAnsi"/>
          <w:b/>
          <w:bCs/>
          <w:sz w:val="28"/>
          <w:szCs w:val="28"/>
        </w:rPr>
        <w:t>Updated identification of VMEs on Cobb Seamount</w:t>
      </w:r>
      <w:r w:rsidR="0010024F" w:rsidRPr="0010024F">
        <w:rPr>
          <w:rFonts w:asciiTheme="majorHAnsi" w:hAnsiTheme="majorHAnsi" w:cstheme="majorHAnsi"/>
          <w:b/>
          <w:bCs/>
          <w:sz w:val="28"/>
          <w:szCs w:val="28"/>
        </w:rPr>
        <w:t xml:space="preserve"> </w:t>
      </w:r>
      <w:r w:rsidR="00984E48">
        <w:rPr>
          <w:rFonts w:asciiTheme="majorHAnsi" w:hAnsiTheme="majorHAnsi" w:cstheme="majorHAnsi"/>
          <w:b/>
          <w:bCs/>
          <w:sz w:val="28"/>
          <w:szCs w:val="28"/>
        </w:rPr>
        <w:t xml:space="preserve">in the Northeast Pacific Ocean </w:t>
      </w:r>
      <w:r w:rsidR="0010024F" w:rsidRPr="0010024F">
        <w:rPr>
          <w:rFonts w:asciiTheme="majorHAnsi" w:hAnsiTheme="majorHAnsi" w:cstheme="majorHAnsi"/>
          <w:b/>
          <w:bCs/>
          <w:sz w:val="28"/>
          <w:szCs w:val="28"/>
        </w:rPr>
        <w:t>by including pennatulaceans as VME indicator taxa</w:t>
      </w:r>
    </w:p>
    <w:p w14:paraId="4B784BBC" w14:textId="77777777" w:rsidR="001032F5" w:rsidRPr="001032F5" w:rsidRDefault="001032F5" w:rsidP="001032F5">
      <w:pPr>
        <w:rPr>
          <w:rFonts w:asciiTheme="majorHAnsi" w:hAnsiTheme="majorHAnsi" w:cstheme="majorHAnsi"/>
          <w:sz w:val="22"/>
        </w:rPr>
      </w:pPr>
    </w:p>
    <w:p w14:paraId="7780678F" w14:textId="1067C496" w:rsidR="00473456" w:rsidRPr="00467004" w:rsidRDefault="001032F5" w:rsidP="001032F5">
      <w:pPr>
        <w:rPr>
          <w:rFonts w:asciiTheme="majorHAnsi" w:hAnsiTheme="majorHAnsi" w:cstheme="majorHAnsi"/>
          <w:sz w:val="22"/>
          <w:vertAlign w:val="superscript"/>
        </w:rPr>
      </w:pPr>
      <w:r w:rsidRPr="00467004">
        <w:rPr>
          <w:rFonts w:asciiTheme="majorHAnsi" w:hAnsiTheme="majorHAnsi" w:cstheme="majorHAnsi"/>
          <w:sz w:val="22"/>
        </w:rPr>
        <w:t>Devon R Warawa, Christopher N Rooper, and Janelle MR Curtis</w:t>
      </w:r>
    </w:p>
    <w:p w14:paraId="255C14A6" w14:textId="0C303E3F" w:rsidR="001032F5" w:rsidRPr="00467004" w:rsidRDefault="001032F5" w:rsidP="001032F5">
      <w:pPr>
        <w:rPr>
          <w:rFonts w:asciiTheme="majorHAnsi" w:hAnsiTheme="majorHAnsi" w:cstheme="majorHAnsi"/>
          <w:sz w:val="22"/>
        </w:rPr>
      </w:pPr>
      <w:r w:rsidRPr="00467004">
        <w:rPr>
          <w:rFonts w:asciiTheme="majorHAnsi" w:hAnsiTheme="majorHAnsi" w:cstheme="majorHAnsi"/>
          <w:sz w:val="22"/>
        </w:rPr>
        <w:t>Fisheries and Oceans Canada</w:t>
      </w:r>
    </w:p>
    <w:p w14:paraId="00747312" w14:textId="77777777" w:rsidR="00473FAA" w:rsidRPr="00467004" w:rsidRDefault="00473FAA" w:rsidP="001032F5">
      <w:pPr>
        <w:rPr>
          <w:rFonts w:asciiTheme="majorHAnsi" w:hAnsiTheme="majorHAnsi" w:cstheme="majorHAnsi"/>
          <w:sz w:val="22"/>
        </w:rPr>
      </w:pPr>
    </w:p>
    <w:p w14:paraId="077FBCEC" w14:textId="4A6E345D" w:rsidR="00473FAA" w:rsidRPr="00467004" w:rsidRDefault="00473FAA" w:rsidP="001032F5">
      <w:pPr>
        <w:rPr>
          <w:rFonts w:asciiTheme="majorHAnsi" w:hAnsiTheme="majorHAnsi" w:cstheme="majorHAnsi"/>
          <w:b/>
          <w:bCs/>
          <w:sz w:val="22"/>
        </w:rPr>
      </w:pPr>
      <w:r w:rsidRPr="00467004">
        <w:rPr>
          <w:rFonts w:asciiTheme="majorHAnsi" w:hAnsiTheme="majorHAnsi" w:cstheme="majorHAnsi"/>
          <w:b/>
          <w:bCs/>
          <w:sz w:val="22"/>
        </w:rPr>
        <w:t>ABSTRACT</w:t>
      </w:r>
    </w:p>
    <w:p w14:paraId="14B8620F" w14:textId="1F1BC58D" w:rsidR="005C72FB" w:rsidRPr="005C72FB" w:rsidRDefault="0010024F" w:rsidP="005C72FB">
      <w:pPr>
        <w:rPr>
          <w:rFonts w:asciiTheme="majorHAnsi" w:hAnsiTheme="majorHAnsi" w:cstheme="majorHAnsi"/>
          <w:sz w:val="22"/>
        </w:rPr>
      </w:pPr>
      <w:r w:rsidRPr="00CB5C22">
        <w:rPr>
          <w:rFonts w:asciiTheme="majorHAnsi" w:hAnsiTheme="majorHAnsi" w:cstheme="majorHAnsi"/>
          <w:sz w:val="22"/>
        </w:rPr>
        <w:t xml:space="preserve">Warawa et al. (2023) </w:t>
      </w:r>
      <w:r w:rsidR="005C72FB" w:rsidRPr="00CB5C22">
        <w:rPr>
          <w:rFonts w:asciiTheme="majorHAnsi" w:hAnsiTheme="majorHAnsi" w:cstheme="majorHAnsi"/>
          <w:sz w:val="22"/>
        </w:rPr>
        <w:t>identif</w:t>
      </w:r>
      <w:r w:rsidRPr="00CB5C22">
        <w:rPr>
          <w:rFonts w:asciiTheme="majorHAnsi" w:hAnsiTheme="majorHAnsi" w:cstheme="majorHAnsi"/>
          <w:sz w:val="22"/>
        </w:rPr>
        <w:t>ied</w:t>
      </w:r>
      <w:r w:rsidR="005C72FB" w:rsidRPr="00CB5C22">
        <w:rPr>
          <w:rFonts w:asciiTheme="majorHAnsi" w:hAnsiTheme="majorHAnsi" w:cstheme="majorHAnsi"/>
          <w:sz w:val="22"/>
        </w:rPr>
        <w:t xml:space="preserve"> vulnerable marine ecosystems (VMEs) on Cobb Seamount by applying a quantitative approach to assessing the Food and Agriculture Organization (FAO) criterion of structural complexity for identifying VMEs (FAO 2009) </w:t>
      </w:r>
      <w:r w:rsidRPr="00CB5C22">
        <w:rPr>
          <w:rFonts w:asciiTheme="majorHAnsi" w:hAnsiTheme="majorHAnsi" w:cstheme="majorHAnsi"/>
          <w:sz w:val="22"/>
        </w:rPr>
        <w:t xml:space="preserve">that was </w:t>
      </w:r>
      <w:r w:rsidR="005C72FB" w:rsidRPr="00CB5C22">
        <w:rPr>
          <w:rFonts w:asciiTheme="majorHAnsi" w:hAnsiTheme="majorHAnsi" w:cstheme="majorHAnsi"/>
          <w:sz w:val="22"/>
        </w:rPr>
        <w:t xml:space="preserve">developed by Rowden et al. (2020). VMEs </w:t>
      </w:r>
      <w:r w:rsidRPr="00CB5C22">
        <w:rPr>
          <w:rFonts w:asciiTheme="majorHAnsi" w:hAnsiTheme="majorHAnsi" w:cstheme="majorHAnsi"/>
          <w:sz w:val="22"/>
        </w:rPr>
        <w:t>we</w:t>
      </w:r>
      <w:r w:rsidR="005C72FB" w:rsidRPr="00CB5C22">
        <w:rPr>
          <w:rFonts w:asciiTheme="majorHAnsi" w:hAnsiTheme="majorHAnsi" w:cstheme="majorHAnsi"/>
          <w:sz w:val="22"/>
        </w:rPr>
        <w:t>re identified using visual data as outlined in the North Pacific Fisheries Commission’s (NPFC’s) framework for identifying data to identify VMEs (See Annex 2.3 in NPFC 20</w:t>
      </w:r>
      <w:r w:rsidR="00984E48" w:rsidRPr="00CB5C22">
        <w:rPr>
          <w:rFonts w:asciiTheme="majorHAnsi" w:hAnsiTheme="majorHAnsi" w:cstheme="majorHAnsi"/>
          <w:sz w:val="22"/>
        </w:rPr>
        <w:t>25</w:t>
      </w:r>
      <w:r w:rsidR="005C72FB" w:rsidRPr="00CB5C22">
        <w:rPr>
          <w:rFonts w:asciiTheme="majorHAnsi" w:hAnsiTheme="majorHAnsi" w:cstheme="majorHAnsi"/>
          <w:sz w:val="22"/>
        </w:rPr>
        <w:t xml:space="preserve">). </w:t>
      </w:r>
      <w:r w:rsidRPr="00CB5C22">
        <w:rPr>
          <w:rFonts w:asciiTheme="majorHAnsi" w:hAnsiTheme="majorHAnsi" w:cstheme="majorHAnsi"/>
          <w:sz w:val="22"/>
        </w:rPr>
        <w:t xml:space="preserve">In 2024, the NPFC Commission </w:t>
      </w:r>
      <w:r w:rsidR="00EE6D44" w:rsidRPr="00CB5C22">
        <w:rPr>
          <w:rFonts w:asciiTheme="majorHAnsi" w:hAnsiTheme="majorHAnsi" w:cstheme="majorHAnsi"/>
          <w:sz w:val="22"/>
        </w:rPr>
        <w:t>adopted</w:t>
      </w:r>
      <w:r w:rsidRPr="00CB5C22">
        <w:rPr>
          <w:rFonts w:asciiTheme="majorHAnsi" w:hAnsiTheme="majorHAnsi" w:cstheme="majorHAnsi"/>
          <w:sz w:val="22"/>
        </w:rPr>
        <w:t xml:space="preserve"> the </w:t>
      </w:r>
      <w:r w:rsidR="00984E48" w:rsidRPr="00CB5C22">
        <w:rPr>
          <w:rFonts w:asciiTheme="majorHAnsi" w:hAnsiTheme="majorHAnsi" w:cstheme="majorHAnsi"/>
          <w:sz w:val="22"/>
        </w:rPr>
        <w:t>addition</w:t>
      </w:r>
      <w:r w:rsidRPr="00CB5C22">
        <w:rPr>
          <w:rFonts w:asciiTheme="majorHAnsi" w:hAnsiTheme="majorHAnsi" w:cstheme="majorHAnsi"/>
          <w:sz w:val="22"/>
        </w:rPr>
        <w:t xml:space="preserve"> of pennatulaceans </w:t>
      </w:r>
      <w:r w:rsidR="00984E48" w:rsidRPr="00CB5C22">
        <w:rPr>
          <w:rFonts w:asciiTheme="majorHAnsi" w:hAnsiTheme="majorHAnsi" w:cstheme="majorHAnsi"/>
          <w:sz w:val="22"/>
        </w:rPr>
        <w:t>to</w:t>
      </w:r>
      <w:r w:rsidRPr="00CB5C22">
        <w:rPr>
          <w:rFonts w:asciiTheme="majorHAnsi" w:hAnsiTheme="majorHAnsi" w:cstheme="majorHAnsi"/>
          <w:sz w:val="22"/>
        </w:rPr>
        <w:t xml:space="preserve"> the list of NPFC’s VME indicator taxa </w:t>
      </w:r>
      <w:r w:rsidRPr="009764CB">
        <w:rPr>
          <w:rFonts w:asciiTheme="majorHAnsi" w:hAnsiTheme="majorHAnsi" w:cstheme="majorHAnsi"/>
          <w:sz w:val="22"/>
        </w:rPr>
        <w:t>(</w:t>
      </w:r>
      <w:r w:rsidR="00EE6D44" w:rsidRPr="009764CB">
        <w:rPr>
          <w:rFonts w:asciiTheme="majorHAnsi" w:hAnsiTheme="majorHAnsi" w:cstheme="majorHAnsi"/>
          <w:sz w:val="22"/>
        </w:rPr>
        <w:t>NPFC</w:t>
      </w:r>
      <w:r w:rsidR="009764CB" w:rsidRPr="009764CB">
        <w:rPr>
          <w:rFonts w:asciiTheme="majorHAnsi" w:hAnsiTheme="majorHAnsi" w:cstheme="majorHAnsi"/>
          <w:sz w:val="22"/>
        </w:rPr>
        <w:t xml:space="preserve"> </w:t>
      </w:r>
      <w:r w:rsidR="00EE6D44" w:rsidRPr="009764CB">
        <w:rPr>
          <w:rFonts w:asciiTheme="majorHAnsi" w:hAnsiTheme="majorHAnsi" w:cstheme="majorHAnsi"/>
          <w:sz w:val="22"/>
        </w:rPr>
        <w:t>2024).</w:t>
      </w:r>
      <w:r w:rsidRPr="009764CB">
        <w:rPr>
          <w:rFonts w:asciiTheme="majorHAnsi" w:hAnsiTheme="majorHAnsi" w:cstheme="majorHAnsi"/>
          <w:sz w:val="22"/>
        </w:rPr>
        <w:t xml:space="preserve"> </w:t>
      </w:r>
      <w:r w:rsidR="005C72FB" w:rsidRPr="00CB5C22">
        <w:rPr>
          <w:rFonts w:asciiTheme="majorHAnsi" w:hAnsiTheme="majorHAnsi" w:cstheme="majorHAnsi"/>
          <w:sz w:val="22"/>
        </w:rPr>
        <w:t xml:space="preserve">Using </w:t>
      </w:r>
      <w:r w:rsidR="00EE6D44" w:rsidRPr="00CB5C22">
        <w:rPr>
          <w:rFonts w:asciiTheme="majorHAnsi" w:hAnsiTheme="majorHAnsi" w:cstheme="majorHAnsi"/>
          <w:sz w:val="22"/>
        </w:rPr>
        <w:t>Warawa</w:t>
      </w:r>
      <w:r w:rsidR="005C72FB" w:rsidRPr="00CB5C22">
        <w:rPr>
          <w:rFonts w:asciiTheme="majorHAnsi" w:hAnsiTheme="majorHAnsi" w:cstheme="majorHAnsi"/>
          <w:sz w:val="22"/>
        </w:rPr>
        <w:t xml:space="preserve"> et al.’s (202</w:t>
      </w:r>
      <w:r w:rsidR="00EE6D44" w:rsidRPr="00CB5C22">
        <w:rPr>
          <w:rFonts w:asciiTheme="majorHAnsi" w:hAnsiTheme="majorHAnsi" w:cstheme="majorHAnsi"/>
          <w:sz w:val="22"/>
        </w:rPr>
        <w:t>3</w:t>
      </w:r>
      <w:r w:rsidR="005C72FB" w:rsidRPr="00E20FD9">
        <w:rPr>
          <w:rFonts w:asciiTheme="majorHAnsi" w:hAnsiTheme="majorHAnsi" w:cstheme="majorHAnsi"/>
          <w:sz w:val="22"/>
        </w:rPr>
        <w:t xml:space="preserve">) </w:t>
      </w:r>
      <w:r w:rsidR="005C72FB" w:rsidRPr="00CB5C22">
        <w:rPr>
          <w:rFonts w:asciiTheme="majorHAnsi" w:hAnsiTheme="majorHAnsi" w:cstheme="majorHAnsi"/>
          <w:sz w:val="22"/>
        </w:rPr>
        <w:t xml:space="preserve">approach, we </w:t>
      </w:r>
      <w:r w:rsidR="00EE6D44" w:rsidRPr="00CB5C22">
        <w:rPr>
          <w:rFonts w:asciiTheme="majorHAnsi" w:hAnsiTheme="majorHAnsi" w:cstheme="majorHAnsi"/>
          <w:sz w:val="22"/>
        </w:rPr>
        <w:t>re-</w:t>
      </w:r>
      <w:r w:rsidR="005C72FB" w:rsidRPr="00CB5C22">
        <w:rPr>
          <w:rFonts w:asciiTheme="majorHAnsi" w:hAnsiTheme="majorHAnsi" w:cstheme="majorHAnsi"/>
          <w:sz w:val="22"/>
        </w:rPr>
        <w:t xml:space="preserve">calculated </w:t>
      </w:r>
      <w:r w:rsidR="003A6E7F" w:rsidRPr="00CB5C22">
        <w:rPr>
          <w:rFonts w:asciiTheme="majorHAnsi" w:hAnsiTheme="majorHAnsi" w:cstheme="majorHAnsi"/>
          <w:sz w:val="22"/>
        </w:rPr>
        <w:t>their</w:t>
      </w:r>
      <w:r w:rsidR="005C72FB" w:rsidRPr="00CB5C22">
        <w:rPr>
          <w:rFonts w:asciiTheme="majorHAnsi" w:hAnsiTheme="majorHAnsi" w:cstheme="majorHAnsi"/>
          <w:sz w:val="22"/>
        </w:rPr>
        <w:t xml:space="preserve"> VME </w:t>
      </w:r>
      <w:r w:rsidR="00EE6D44" w:rsidRPr="00CB5C22">
        <w:rPr>
          <w:rFonts w:asciiTheme="majorHAnsi" w:hAnsiTheme="majorHAnsi" w:cstheme="majorHAnsi"/>
          <w:sz w:val="22"/>
        </w:rPr>
        <w:t xml:space="preserve">indicator </w:t>
      </w:r>
      <w:r w:rsidR="00984E48" w:rsidRPr="00CB5C22">
        <w:rPr>
          <w:rFonts w:asciiTheme="majorHAnsi" w:hAnsiTheme="majorHAnsi" w:cstheme="majorHAnsi"/>
          <w:sz w:val="22"/>
        </w:rPr>
        <w:t xml:space="preserve">taxa </w:t>
      </w:r>
      <w:r w:rsidR="005C72FB" w:rsidRPr="00CB5C22">
        <w:rPr>
          <w:rFonts w:asciiTheme="majorHAnsi" w:hAnsiTheme="majorHAnsi" w:cstheme="majorHAnsi"/>
          <w:sz w:val="22"/>
        </w:rPr>
        <w:t xml:space="preserve">density threshold </w:t>
      </w:r>
      <w:r w:rsidR="00EE6D44" w:rsidRPr="00CB5C22">
        <w:rPr>
          <w:rFonts w:asciiTheme="majorHAnsi" w:hAnsiTheme="majorHAnsi" w:cstheme="majorHAnsi"/>
          <w:sz w:val="22"/>
        </w:rPr>
        <w:t>by including pennatulaceans as VME indicator</w:t>
      </w:r>
      <w:r w:rsidR="003A6E7F" w:rsidRPr="00CB5C22">
        <w:rPr>
          <w:rFonts w:asciiTheme="majorHAnsi" w:hAnsiTheme="majorHAnsi" w:cstheme="majorHAnsi"/>
          <w:sz w:val="22"/>
        </w:rPr>
        <w:t>s</w:t>
      </w:r>
      <w:r w:rsidR="00EE6D44" w:rsidRPr="00CB5C22">
        <w:rPr>
          <w:rFonts w:asciiTheme="majorHAnsi" w:hAnsiTheme="majorHAnsi" w:cstheme="majorHAnsi"/>
          <w:sz w:val="22"/>
        </w:rPr>
        <w:t xml:space="preserve">. The updated threshold was </w:t>
      </w:r>
      <w:r w:rsidR="005C72FB" w:rsidRPr="00CB5C22">
        <w:rPr>
          <w:rFonts w:asciiTheme="majorHAnsi" w:hAnsiTheme="majorHAnsi" w:cstheme="majorHAnsi"/>
          <w:sz w:val="22"/>
        </w:rPr>
        <w:t>0.</w:t>
      </w:r>
      <w:r w:rsidR="00EE6D44" w:rsidRPr="00CB5C22">
        <w:rPr>
          <w:rFonts w:asciiTheme="majorHAnsi" w:hAnsiTheme="majorHAnsi" w:cstheme="majorHAnsi"/>
          <w:sz w:val="22"/>
        </w:rPr>
        <w:t>58</w:t>
      </w:r>
      <w:r w:rsidR="005C72FB" w:rsidRPr="00CB5C22">
        <w:rPr>
          <w:rFonts w:asciiTheme="majorHAnsi" w:hAnsiTheme="majorHAnsi" w:cstheme="majorHAnsi"/>
          <w:sz w:val="22"/>
        </w:rPr>
        <w:t xml:space="preserve"> VME indicator taxa colonies m</w:t>
      </w:r>
      <w:r w:rsidR="005C72FB" w:rsidRPr="00CB5C22">
        <w:rPr>
          <w:rFonts w:asciiTheme="majorHAnsi" w:hAnsiTheme="majorHAnsi" w:cstheme="majorHAnsi"/>
          <w:sz w:val="22"/>
          <w:vertAlign w:val="superscript"/>
        </w:rPr>
        <w:t>-2</w:t>
      </w:r>
      <w:r w:rsidR="005C72FB" w:rsidRPr="00CB5C22">
        <w:rPr>
          <w:rFonts w:asciiTheme="majorHAnsi" w:hAnsiTheme="majorHAnsi" w:cstheme="majorHAnsi"/>
          <w:sz w:val="22"/>
        </w:rPr>
        <w:t xml:space="preserve">. </w:t>
      </w:r>
      <w:r w:rsidR="003A6E7F" w:rsidRPr="00CB5C22">
        <w:rPr>
          <w:rFonts w:asciiTheme="majorHAnsi" w:hAnsiTheme="majorHAnsi" w:cstheme="majorHAnsi"/>
          <w:sz w:val="22"/>
        </w:rPr>
        <w:t>When we a</w:t>
      </w:r>
      <w:r w:rsidR="005C72FB" w:rsidRPr="00CB5C22">
        <w:rPr>
          <w:rFonts w:asciiTheme="majorHAnsi" w:hAnsiTheme="majorHAnsi" w:cstheme="majorHAnsi"/>
          <w:sz w:val="22"/>
        </w:rPr>
        <w:t>ppl</w:t>
      </w:r>
      <w:r w:rsidR="003A6E7F" w:rsidRPr="00CB5C22">
        <w:rPr>
          <w:rFonts w:asciiTheme="majorHAnsi" w:hAnsiTheme="majorHAnsi" w:cstheme="majorHAnsi"/>
          <w:sz w:val="22"/>
        </w:rPr>
        <w:t>ied</w:t>
      </w:r>
      <w:r w:rsidR="005C72FB" w:rsidRPr="00CB5C22">
        <w:rPr>
          <w:rFonts w:asciiTheme="majorHAnsi" w:hAnsiTheme="majorHAnsi" w:cstheme="majorHAnsi"/>
          <w:sz w:val="22"/>
        </w:rPr>
        <w:t xml:space="preserve"> </w:t>
      </w:r>
      <w:r w:rsidR="00EE6D44" w:rsidRPr="00CB5C22">
        <w:rPr>
          <w:rFonts w:asciiTheme="majorHAnsi" w:hAnsiTheme="majorHAnsi" w:cstheme="majorHAnsi"/>
          <w:sz w:val="22"/>
        </w:rPr>
        <w:t xml:space="preserve">this updated </w:t>
      </w:r>
      <w:r w:rsidR="005C72FB" w:rsidRPr="00CB5C22">
        <w:rPr>
          <w:rFonts w:asciiTheme="majorHAnsi" w:hAnsiTheme="majorHAnsi" w:cstheme="majorHAnsi"/>
          <w:sz w:val="22"/>
        </w:rPr>
        <w:t>threshold to visual data from autonomous underwater vehicle (AUV) transects on Cobb Seamount, we identif</w:t>
      </w:r>
      <w:r w:rsidR="00EE6D44" w:rsidRPr="00CB5C22">
        <w:rPr>
          <w:rFonts w:asciiTheme="majorHAnsi" w:hAnsiTheme="majorHAnsi" w:cstheme="majorHAnsi"/>
          <w:sz w:val="22"/>
        </w:rPr>
        <w:t>ied</w:t>
      </w:r>
      <w:r w:rsidR="005C72FB" w:rsidRPr="00CB5C22">
        <w:rPr>
          <w:rFonts w:asciiTheme="majorHAnsi" w:hAnsiTheme="majorHAnsi" w:cstheme="majorHAnsi"/>
          <w:sz w:val="22"/>
        </w:rPr>
        <w:t xml:space="preserve"> </w:t>
      </w:r>
      <w:r w:rsidR="00EE6D44" w:rsidRPr="00CB5C22">
        <w:rPr>
          <w:rFonts w:asciiTheme="majorHAnsi" w:hAnsiTheme="majorHAnsi" w:cstheme="majorHAnsi"/>
          <w:sz w:val="22"/>
        </w:rPr>
        <w:t>three new</w:t>
      </w:r>
      <w:r w:rsidR="005C72FB" w:rsidRPr="00CB5C22">
        <w:rPr>
          <w:rFonts w:asciiTheme="majorHAnsi" w:hAnsiTheme="majorHAnsi" w:cstheme="majorHAnsi"/>
          <w:sz w:val="22"/>
        </w:rPr>
        <w:t xml:space="preserve"> areas as VMEs</w:t>
      </w:r>
      <w:r w:rsidR="00E135A7" w:rsidRPr="00CB5C22">
        <w:rPr>
          <w:rFonts w:asciiTheme="majorHAnsi" w:hAnsiTheme="majorHAnsi" w:cstheme="majorHAnsi"/>
          <w:sz w:val="22"/>
        </w:rPr>
        <w:t>,</w:t>
      </w:r>
      <w:r w:rsidR="005C72FB" w:rsidRPr="00CB5C22">
        <w:rPr>
          <w:rFonts w:asciiTheme="majorHAnsi" w:hAnsiTheme="majorHAnsi" w:cstheme="majorHAnsi"/>
          <w:sz w:val="22"/>
        </w:rPr>
        <w:t xml:space="preserve"> </w:t>
      </w:r>
      <w:r w:rsidR="00E135A7" w:rsidRPr="00CB5C22">
        <w:rPr>
          <w:rFonts w:asciiTheme="majorHAnsi" w:hAnsiTheme="majorHAnsi" w:cstheme="majorHAnsi"/>
          <w:sz w:val="22"/>
        </w:rPr>
        <w:t xml:space="preserve">each approximately 50 </w:t>
      </w:r>
      <w:r w:rsidR="005C72FB" w:rsidRPr="00CB5C22">
        <w:rPr>
          <w:rFonts w:asciiTheme="majorHAnsi" w:hAnsiTheme="majorHAnsi" w:cstheme="majorHAnsi"/>
          <w:sz w:val="22"/>
        </w:rPr>
        <w:t>m</w:t>
      </w:r>
      <w:r w:rsidR="005C72FB" w:rsidRPr="00CB5C22">
        <w:rPr>
          <w:rFonts w:asciiTheme="majorHAnsi" w:hAnsiTheme="majorHAnsi" w:cstheme="majorHAnsi"/>
          <w:sz w:val="22"/>
          <w:vertAlign w:val="superscript"/>
        </w:rPr>
        <w:t>2</w:t>
      </w:r>
      <w:r w:rsidR="005C72FB" w:rsidRPr="00CB5C22">
        <w:rPr>
          <w:rFonts w:asciiTheme="majorHAnsi" w:hAnsiTheme="majorHAnsi" w:cstheme="majorHAnsi"/>
          <w:sz w:val="22"/>
        </w:rPr>
        <w:t xml:space="preserve">. </w:t>
      </w:r>
    </w:p>
    <w:p w14:paraId="1254AF6F" w14:textId="77777777" w:rsidR="005C72FB" w:rsidRPr="00467004" w:rsidRDefault="005C72FB" w:rsidP="005C72FB">
      <w:pPr>
        <w:rPr>
          <w:rFonts w:asciiTheme="majorHAnsi" w:hAnsiTheme="majorHAnsi" w:cstheme="majorHAnsi"/>
          <w:sz w:val="22"/>
        </w:rPr>
      </w:pPr>
    </w:p>
    <w:p w14:paraId="6C0E50FD" w14:textId="77777777" w:rsidR="00C947D2" w:rsidRDefault="00C947D2">
      <w:pPr>
        <w:widowControl/>
        <w:jc w:val="left"/>
        <w:rPr>
          <w:rFonts w:asciiTheme="majorHAnsi" w:hAnsiTheme="majorHAnsi" w:cstheme="majorHAnsi"/>
          <w:b/>
          <w:bCs/>
          <w:sz w:val="22"/>
        </w:rPr>
      </w:pPr>
      <w:r>
        <w:rPr>
          <w:rFonts w:asciiTheme="majorHAnsi" w:hAnsiTheme="majorHAnsi" w:cstheme="majorHAnsi"/>
          <w:b/>
          <w:bCs/>
          <w:sz w:val="22"/>
        </w:rPr>
        <w:br w:type="page"/>
      </w:r>
    </w:p>
    <w:p w14:paraId="0096964C" w14:textId="7050EFD9" w:rsidR="005C72FB" w:rsidRPr="005C72FB" w:rsidRDefault="005C72FB" w:rsidP="005C72FB">
      <w:pPr>
        <w:rPr>
          <w:rFonts w:asciiTheme="majorHAnsi" w:hAnsiTheme="majorHAnsi" w:cstheme="majorHAnsi"/>
          <w:b/>
          <w:bCs/>
          <w:sz w:val="22"/>
        </w:rPr>
      </w:pPr>
      <w:r w:rsidRPr="005C72FB">
        <w:rPr>
          <w:rFonts w:asciiTheme="majorHAnsi" w:hAnsiTheme="majorHAnsi" w:cstheme="majorHAnsi"/>
          <w:b/>
          <w:bCs/>
          <w:sz w:val="22"/>
        </w:rPr>
        <w:lastRenderedPageBreak/>
        <w:t xml:space="preserve">BACKGROUND </w:t>
      </w:r>
    </w:p>
    <w:p w14:paraId="2C10819B" w14:textId="296FFAD6" w:rsidR="005C72FB" w:rsidRPr="00121F70" w:rsidRDefault="005C72FB" w:rsidP="005C72FB">
      <w:pPr>
        <w:rPr>
          <w:rFonts w:asciiTheme="majorHAnsi" w:hAnsiTheme="majorHAnsi" w:cstheme="majorHAnsi"/>
          <w:sz w:val="22"/>
        </w:rPr>
      </w:pPr>
      <w:r w:rsidRPr="00121F70">
        <w:rPr>
          <w:rFonts w:asciiTheme="majorHAnsi" w:hAnsiTheme="majorHAnsi" w:cstheme="majorHAnsi"/>
          <w:sz w:val="22"/>
        </w:rPr>
        <w:t xml:space="preserve">Canada’s quantitative and repeatable methodology for identifying vulnerable marine ecosystems (VMEs) in the North Pacific Fisheries Commission’s (NPFC’s) Convention Area (CA) (Warawa et al. 2022) was endorsed by the NPFC's Scientific Committee in December </w:t>
      </w:r>
      <w:r w:rsidRPr="00714AAB">
        <w:rPr>
          <w:rFonts w:asciiTheme="majorHAnsi" w:hAnsiTheme="majorHAnsi" w:cstheme="majorHAnsi"/>
          <w:sz w:val="22"/>
        </w:rPr>
        <w:t>2022 (NPFC-SC 2022)</w:t>
      </w:r>
      <w:r w:rsidRPr="00121F70">
        <w:rPr>
          <w:rFonts w:asciiTheme="majorHAnsi" w:hAnsiTheme="majorHAnsi" w:cstheme="majorHAnsi"/>
          <w:sz w:val="22"/>
        </w:rPr>
        <w:t xml:space="preserve"> and adopted by the NPFC Commission in March 2023 (NPFC 2023). This working paper applies the adopted methodology </w:t>
      </w:r>
      <w:r w:rsidR="00882AA3" w:rsidRPr="00121F70">
        <w:rPr>
          <w:rFonts w:asciiTheme="majorHAnsi" w:hAnsiTheme="majorHAnsi" w:cstheme="majorHAnsi"/>
          <w:sz w:val="22"/>
        </w:rPr>
        <w:t xml:space="preserve">as in Warawa et al. (2023) </w:t>
      </w:r>
      <w:r w:rsidRPr="00121F70">
        <w:rPr>
          <w:rFonts w:asciiTheme="majorHAnsi" w:hAnsiTheme="majorHAnsi" w:cstheme="majorHAnsi"/>
          <w:sz w:val="22"/>
        </w:rPr>
        <w:t xml:space="preserve">to </w:t>
      </w:r>
      <w:r w:rsidR="00882AA3" w:rsidRPr="00121F70">
        <w:rPr>
          <w:rFonts w:asciiTheme="majorHAnsi" w:hAnsiTheme="majorHAnsi" w:cstheme="majorHAnsi"/>
          <w:sz w:val="22"/>
        </w:rPr>
        <w:t xml:space="preserve">update </w:t>
      </w:r>
      <w:r w:rsidRPr="00121F70">
        <w:rPr>
          <w:rFonts w:asciiTheme="majorHAnsi" w:hAnsiTheme="majorHAnsi" w:cstheme="majorHAnsi"/>
          <w:sz w:val="22"/>
        </w:rPr>
        <w:t>identi</w:t>
      </w:r>
      <w:r w:rsidR="00882AA3" w:rsidRPr="00121F70">
        <w:rPr>
          <w:rFonts w:asciiTheme="majorHAnsi" w:hAnsiTheme="majorHAnsi" w:cstheme="majorHAnsi"/>
          <w:sz w:val="22"/>
        </w:rPr>
        <w:t xml:space="preserve">fication of </w:t>
      </w:r>
      <w:r w:rsidRPr="00121F70">
        <w:rPr>
          <w:rFonts w:asciiTheme="majorHAnsi" w:hAnsiTheme="majorHAnsi" w:cstheme="majorHAnsi"/>
          <w:sz w:val="22"/>
        </w:rPr>
        <w:t xml:space="preserve">VMEs </w:t>
      </w:r>
      <w:r w:rsidR="00882AA3" w:rsidRPr="00121F70">
        <w:rPr>
          <w:rFonts w:asciiTheme="majorHAnsi" w:hAnsiTheme="majorHAnsi" w:cstheme="majorHAnsi"/>
          <w:sz w:val="22"/>
        </w:rPr>
        <w:t xml:space="preserve">by including pennatulaceans as VME indicator taxa </w:t>
      </w:r>
      <w:r w:rsidRPr="00121F70">
        <w:rPr>
          <w:rFonts w:asciiTheme="majorHAnsi" w:hAnsiTheme="majorHAnsi" w:cstheme="majorHAnsi"/>
          <w:sz w:val="22"/>
        </w:rPr>
        <w:t xml:space="preserve">where </w:t>
      </w:r>
      <w:r w:rsidR="00882AA3" w:rsidRPr="00121F70">
        <w:rPr>
          <w:rFonts w:asciiTheme="majorHAnsi" w:hAnsiTheme="majorHAnsi" w:cstheme="majorHAnsi"/>
          <w:sz w:val="22"/>
        </w:rPr>
        <w:t xml:space="preserve">these were observed in </w:t>
      </w:r>
      <w:r w:rsidRPr="00121F70">
        <w:rPr>
          <w:rFonts w:asciiTheme="majorHAnsi" w:hAnsiTheme="majorHAnsi" w:cstheme="majorHAnsi"/>
          <w:sz w:val="22"/>
        </w:rPr>
        <w:t xml:space="preserve">visual data </w:t>
      </w:r>
      <w:r w:rsidR="00882AA3" w:rsidRPr="00121F70">
        <w:rPr>
          <w:rFonts w:asciiTheme="majorHAnsi" w:hAnsiTheme="majorHAnsi" w:cstheme="majorHAnsi"/>
          <w:sz w:val="22"/>
        </w:rPr>
        <w:t>collected on Cobb Seamount in the Northeast Pacific Ocean.</w:t>
      </w:r>
      <w:r w:rsidR="00882AA3" w:rsidRPr="00121F70">
        <w:rPr>
          <w:rFonts w:asciiTheme="majorHAnsi" w:hAnsiTheme="majorHAnsi" w:cstheme="majorHAnsi"/>
          <w:b/>
          <w:bCs/>
          <w:sz w:val="28"/>
          <w:szCs w:val="28"/>
        </w:rPr>
        <w:t xml:space="preserve"> </w:t>
      </w:r>
    </w:p>
    <w:p w14:paraId="227A3E84" w14:textId="77777777" w:rsidR="005C72FB" w:rsidRPr="005C72FB" w:rsidRDefault="005C72FB" w:rsidP="005C72FB">
      <w:pPr>
        <w:rPr>
          <w:rFonts w:asciiTheme="majorHAnsi" w:hAnsiTheme="majorHAnsi" w:cstheme="majorHAnsi"/>
          <w:sz w:val="22"/>
          <w:highlight w:val="yellow"/>
        </w:rPr>
      </w:pPr>
    </w:p>
    <w:p w14:paraId="49C0168B" w14:textId="0BAD8976" w:rsidR="005C72FB" w:rsidRPr="00467004" w:rsidRDefault="005C72FB" w:rsidP="005C72FB">
      <w:pPr>
        <w:rPr>
          <w:rFonts w:asciiTheme="majorHAnsi" w:hAnsiTheme="majorHAnsi" w:cstheme="majorHAnsi"/>
          <w:sz w:val="22"/>
        </w:rPr>
      </w:pPr>
      <w:r w:rsidRPr="00121F70">
        <w:rPr>
          <w:rFonts w:asciiTheme="majorHAnsi" w:hAnsiTheme="majorHAnsi" w:cstheme="majorHAnsi"/>
          <w:sz w:val="22"/>
        </w:rPr>
        <w:t xml:space="preserve">Canada’s method for identifying VMEs is an application of the quantitative approach developed by Rowden et al. (2020), which determines a density threshold of VME indicator taxa above which a VME is present, drawing on FAO’s VME criterion of structural complexity (FAO 2009). They identified VME density thresholds for </w:t>
      </w:r>
      <w:proofErr w:type="spellStart"/>
      <w:r w:rsidRPr="00121F70">
        <w:rPr>
          <w:rFonts w:asciiTheme="majorHAnsi" w:hAnsiTheme="majorHAnsi" w:cstheme="majorHAnsi"/>
          <w:i/>
          <w:iCs/>
          <w:sz w:val="22"/>
        </w:rPr>
        <w:t>Solenosmilia</w:t>
      </w:r>
      <w:proofErr w:type="spellEnd"/>
      <w:r w:rsidRPr="00121F70">
        <w:rPr>
          <w:rFonts w:asciiTheme="majorHAnsi" w:hAnsiTheme="majorHAnsi" w:cstheme="majorHAnsi"/>
          <w:i/>
          <w:iCs/>
          <w:sz w:val="22"/>
        </w:rPr>
        <w:t xml:space="preserve"> variabilis</w:t>
      </w:r>
      <w:r w:rsidRPr="00121F70">
        <w:rPr>
          <w:rFonts w:asciiTheme="majorHAnsi" w:hAnsiTheme="majorHAnsi" w:cstheme="majorHAnsi"/>
          <w:sz w:val="22"/>
        </w:rPr>
        <w:t xml:space="preserve"> in the South Pacific Regional Fisheries Management Organization (SPRFMO) CA of 0.11, 0.14, and 0.85 coral heads m</w:t>
      </w:r>
      <w:r w:rsidRPr="00121F70">
        <w:rPr>
          <w:rFonts w:asciiTheme="majorHAnsi" w:hAnsiTheme="majorHAnsi" w:cstheme="majorHAnsi"/>
          <w:sz w:val="22"/>
          <w:vertAlign w:val="superscript"/>
        </w:rPr>
        <w:t>-2</w:t>
      </w:r>
      <w:r w:rsidRPr="00121F70">
        <w:rPr>
          <w:rFonts w:asciiTheme="majorHAnsi" w:hAnsiTheme="majorHAnsi" w:cstheme="majorHAnsi"/>
          <w:sz w:val="22"/>
        </w:rPr>
        <w:t>, at spatial scales of 50 m</w:t>
      </w:r>
      <w:r w:rsidRPr="00121F70">
        <w:rPr>
          <w:rFonts w:asciiTheme="majorHAnsi" w:hAnsiTheme="majorHAnsi" w:cstheme="majorHAnsi"/>
          <w:sz w:val="22"/>
          <w:vertAlign w:val="superscript"/>
        </w:rPr>
        <w:t>2</w:t>
      </w:r>
      <w:r w:rsidRPr="00121F70">
        <w:rPr>
          <w:rFonts w:asciiTheme="majorHAnsi" w:hAnsiTheme="majorHAnsi" w:cstheme="majorHAnsi"/>
          <w:sz w:val="22"/>
        </w:rPr>
        <w:t>, 25 m</w:t>
      </w:r>
      <w:r w:rsidRPr="00121F70">
        <w:rPr>
          <w:rFonts w:asciiTheme="majorHAnsi" w:hAnsiTheme="majorHAnsi" w:cstheme="majorHAnsi"/>
          <w:sz w:val="22"/>
          <w:vertAlign w:val="superscript"/>
        </w:rPr>
        <w:t>2</w:t>
      </w:r>
      <w:r w:rsidRPr="00121F70">
        <w:rPr>
          <w:rFonts w:asciiTheme="majorHAnsi" w:hAnsiTheme="majorHAnsi" w:cstheme="majorHAnsi"/>
          <w:sz w:val="22"/>
        </w:rPr>
        <w:t>, and 2 m</w:t>
      </w:r>
      <w:r w:rsidRPr="00121F70">
        <w:rPr>
          <w:rFonts w:asciiTheme="majorHAnsi" w:hAnsiTheme="majorHAnsi" w:cstheme="majorHAnsi"/>
          <w:sz w:val="22"/>
          <w:vertAlign w:val="superscript"/>
        </w:rPr>
        <w:t>2</w:t>
      </w:r>
      <w:r w:rsidRPr="00121F70">
        <w:rPr>
          <w:rFonts w:asciiTheme="majorHAnsi" w:hAnsiTheme="majorHAnsi" w:cstheme="majorHAnsi"/>
          <w:sz w:val="22"/>
        </w:rPr>
        <w:t xml:space="preserve">, respectively. They hypothesized that the thresholds used to identify VMEs would likely vary regionally. Hence, </w:t>
      </w:r>
      <w:r w:rsidR="00B40D7B" w:rsidRPr="00121F70">
        <w:rPr>
          <w:rFonts w:asciiTheme="majorHAnsi" w:hAnsiTheme="majorHAnsi" w:cstheme="majorHAnsi"/>
          <w:sz w:val="22"/>
        </w:rPr>
        <w:t>Warawa et al. (2023</w:t>
      </w:r>
      <w:r w:rsidR="00B40D7B" w:rsidRPr="00EA147D">
        <w:rPr>
          <w:rFonts w:asciiTheme="majorHAnsi" w:hAnsiTheme="majorHAnsi" w:cstheme="majorHAnsi"/>
          <w:sz w:val="22"/>
        </w:rPr>
        <w:t>)</w:t>
      </w:r>
      <w:r w:rsidR="00B40D7B" w:rsidRPr="00DA08A2">
        <w:rPr>
          <w:rFonts w:asciiTheme="majorHAnsi" w:hAnsiTheme="majorHAnsi" w:cstheme="majorHAnsi"/>
          <w:sz w:val="22"/>
        </w:rPr>
        <w:t xml:space="preserve"> </w:t>
      </w:r>
      <w:r w:rsidRPr="00121F70">
        <w:rPr>
          <w:rFonts w:asciiTheme="majorHAnsi" w:hAnsiTheme="majorHAnsi" w:cstheme="majorHAnsi"/>
          <w:sz w:val="22"/>
        </w:rPr>
        <w:t>applied their methodology to the Northeast NPFC CA using regional data and VME indicator taxa recognized by the NPFC</w:t>
      </w:r>
      <w:r w:rsidR="00B40D7B" w:rsidRPr="00121F70">
        <w:rPr>
          <w:rFonts w:asciiTheme="majorHAnsi" w:hAnsiTheme="majorHAnsi" w:cstheme="majorHAnsi"/>
          <w:sz w:val="22"/>
        </w:rPr>
        <w:t xml:space="preserve"> at the time</w:t>
      </w:r>
      <w:r w:rsidRPr="00121F70">
        <w:rPr>
          <w:rFonts w:asciiTheme="majorHAnsi" w:hAnsiTheme="majorHAnsi" w:cstheme="majorHAnsi"/>
          <w:sz w:val="22"/>
        </w:rPr>
        <w:t>.</w:t>
      </w:r>
      <w:r w:rsidR="00B40D7B" w:rsidRPr="00121F70">
        <w:rPr>
          <w:rFonts w:asciiTheme="majorHAnsi" w:hAnsiTheme="majorHAnsi" w:cstheme="majorHAnsi"/>
          <w:sz w:val="22"/>
        </w:rPr>
        <w:t xml:space="preserve"> In 2024, the NPFC add</w:t>
      </w:r>
      <w:r w:rsidR="007D3D13" w:rsidRPr="00121F70">
        <w:rPr>
          <w:rFonts w:asciiTheme="majorHAnsi" w:hAnsiTheme="majorHAnsi" w:cstheme="majorHAnsi"/>
          <w:sz w:val="22"/>
        </w:rPr>
        <w:t>ed</w:t>
      </w:r>
      <w:r w:rsidR="00B40D7B" w:rsidRPr="00121F70">
        <w:rPr>
          <w:rFonts w:asciiTheme="majorHAnsi" w:hAnsiTheme="majorHAnsi" w:cstheme="majorHAnsi"/>
          <w:sz w:val="22"/>
        </w:rPr>
        <w:t xml:space="preserve"> pennatulaceans to the list of </w:t>
      </w:r>
      <w:r w:rsidR="009513CC" w:rsidRPr="00121F70">
        <w:rPr>
          <w:rFonts w:asciiTheme="majorHAnsi" w:hAnsiTheme="majorHAnsi" w:cstheme="majorHAnsi"/>
          <w:sz w:val="22"/>
        </w:rPr>
        <w:t>its</w:t>
      </w:r>
      <w:r w:rsidR="00B40D7B" w:rsidRPr="00121F70">
        <w:rPr>
          <w:rFonts w:asciiTheme="majorHAnsi" w:hAnsiTheme="majorHAnsi" w:cstheme="majorHAnsi"/>
          <w:sz w:val="22"/>
        </w:rPr>
        <w:t xml:space="preserve"> VME indicator taxa </w:t>
      </w:r>
      <w:r w:rsidR="00B40D7B" w:rsidRPr="009764CB">
        <w:rPr>
          <w:rFonts w:asciiTheme="majorHAnsi" w:hAnsiTheme="majorHAnsi" w:cstheme="majorHAnsi"/>
          <w:sz w:val="22"/>
        </w:rPr>
        <w:t>(</w:t>
      </w:r>
      <w:r w:rsidR="009764CB" w:rsidRPr="009764CB">
        <w:rPr>
          <w:rFonts w:asciiTheme="majorHAnsi" w:hAnsiTheme="majorHAnsi" w:cstheme="majorHAnsi"/>
          <w:sz w:val="22"/>
        </w:rPr>
        <w:t>NPFC 2024)</w:t>
      </w:r>
      <w:r w:rsidR="00B40D7B" w:rsidRPr="009764CB">
        <w:rPr>
          <w:rFonts w:asciiTheme="majorHAnsi" w:hAnsiTheme="majorHAnsi" w:cstheme="majorHAnsi"/>
          <w:sz w:val="22"/>
        </w:rPr>
        <w:t xml:space="preserve">. </w:t>
      </w:r>
      <w:r w:rsidR="007D3D13" w:rsidRPr="00121F70">
        <w:rPr>
          <w:rFonts w:asciiTheme="majorHAnsi" w:hAnsiTheme="majorHAnsi" w:cstheme="majorHAnsi"/>
          <w:sz w:val="22"/>
        </w:rPr>
        <w:t>In this working paper, we u</w:t>
      </w:r>
      <w:r w:rsidR="00B40D7B" w:rsidRPr="00121F70">
        <w:rPr>
          <w:rFonts w:asciiTheme="majorHAnsi" w:hAnsiTheme="majorHAnsi" w:cstheme="majorHAnsi"/>
          <w:sz w:val="22"/>
        </w:rPr>
        <w:t>s</w:t>
      </w:r>
      <w:r w:rsidR="007D3D13" w:rsidRPr="00121F70">
        <w:rPr>
          <w:rFonts w:asciiTheme="majorHAnsi" w:hAnsiTheme="majorHAnsi" w:cstheme="majorHAnsi"/>
          <w:sz w:val="22"/>
        </w:rPr>
        <w:t>e</w:t>
      </w:r>
      <w:r w:rsidR="00B40D7B" w:rsidRPr="00121F70">
        <w:rPr>
          <w:rFonts w:asciiTheme="majorHAnsi" w:hAnsiTheme="majorHAnsi" w:cstheme="majorHAnsi"/>
          <w:sz w:val="22"/>
        </w:rPr>
        <w:t xml:space="preserve"> Warawa et al.’s (2023) approach</w:t>
      </w:r>
      <w:r w:rsidR="007D3D13" w:rsidRPr="00121F70">
        <w:rPr>
          <w:rFonts w:asciiTheme="majorHAnsi" w:hAnsiTheme="majorHAnsi" w:cstheme="majorHAnsi"/>
          <w:sz w:val="22"/>
        </w:rPr>
        <w:t xml:space="preserve"> to </w:t>
      </w:r>
      <w:proofErr w:type="gramStart"/>
      <w:r w:rsidR="00B40D7B" w:rsidRPr="00121F70">
        <w:rPr>
          <w:rFonts w:asciiTheme="majorHAnsi" w:hAnsiTheme="majorHAnsi" w:cstheme="majorHAnsi"/>
          <w:sz w:val="22"/>
        </w:rPr>
        <w:t>re-calculated</w:t>
      </w:r>
      <w:proofErr w:type="gramEnd"/>
      <w:r w:rsidR="00B40D7B" w:rsidRPr="00121F70">
        <w:rPr>
          <w:rFonts w:asciiTheme="majorHAnsi" w:hAnsiTheme="majorHAnsi" w:cstheme="majorHAnsi"/>
          <w:sz w:val="22"/>
        </w:rPr>
        <w:t xml:space="preserve"> a VME indicator taxa density threshold by including pennatulaceans as VME indicator taxa.</w:t>
      </w:r>
      <w:r w:rsidR="009513CC" w:rsidRPr="00121F70">
        <w:rPr>
          <w:rFonts w:asciiTheme="majorHAnsi" w:hAnsiTheme="majorHAnsi" w:cstheme="majorHAnsi"/>
          <w:sz w:val="22"/>
        </w:rPr>
        <w:t xml:space="preserve"> And then we cross-reference annotated densities of VME indicator taxa (see Curtis et al. 2015) against this updated threshold to identify other VME areas on Cobb Seamount.</w:t>
      </w:r>
    </w:p>
    <w:p w14:paraId="56D15913" w14:textId="55DAE640" w:rsidR="005C72FB" w:rsidRPr="005C72FB" w:rsidRDefault="005C72FB" w:rsidP="005C72FB">
      <w:pPr>
        <w:rPr>
          <w:rFonts w:asciiTheme="majorHAnsi" w:hAnsiTheme="majorHAnsi" w:cstheme="majorHAnsi"/>
          <w:sz w:val="22"/>
        </w:rPr>
      </w:pPr>
      <w:r w:rsidRPr="005C72FB">
        <w:rPr>
          <w:rFonts w:asciiTheme="majorHAnsi" w:hAnsiTheme="majorHAnsi" w:cstheme="majorHAnsi"/>
          <w:sz w:val="22"/>
        </w:rPr>
        <w:t xml:space="preserve"> </w:t>
      </w:r>
    </w:p>
    <w:p w14:paraId="38531C76" w14:textId="77777777" w:rsidR="005C72FB" w:rsidRPr="00121F70" w:rsidRDefault="005C72FB" w:rsidP="005C72FB">
      <w:pPr>
        <w:rPr>
          <w:rFonts w:asciiTheme="majorHAnsi" w:hAnsiTheme="majorHAnsi" w:cstheme="majorHAnsi"/>
          <w:b/>
          <w:bCs/>
          <w:sz w:val="22"/>
        </w:rPr>
      </w:pPr>
      <w:r w:rsidRPr="00121F70">
        <w:rPr>
          <w:rFonts w:asciiTheme="majorHAnsi" w:hAnsiTheme="majorHAnsi" w:cstheme="majorHAnsi"/>
          <w:b/>
          <w:bCs/>
          <w:sz w:val="22"/>
        </w:rPr>
        <w:t xml:space="preserve">METHODS </w:t>
      </w:r>
    </w:p>
    <w:p w14:paraId="6777A1E6" w14:textId="77777777" w:rsidR="005C72FB" w:rsidRPr="00121F70" w:rsidRDefault="005C72FB" w:rsidP="005C72FB">
      <w:pPr>
        <w:rPr>
          <w:rFonts w:asciiTheme="majorHAnsi" w:hAnsiTheme="majorHAnsi" w:cstheme="majorHAnsi"/>
          <w:b/>
          <w:bCs/>
          <w:sz w:val="22"/>
        </w:rPr>
      </w:pPr>
      <w:r w:rsidRPr="00121F70">
        <w:rPr>
          <w:rFonts w:asciiTheme="majorHAnsi" w:hAnsiTheme="majorHAnsi" w:cstheme="majorHAnsi"/>
          <w:b/>
          <w:bCs/>
          <w:sz w:val="22"/>
        </w:rPr>
        <w:t xml:space="preserve">Study area </w:t>
      </w:r>
    </w:p>
    <w:p w14:paraId="7267A20F" w14:textId="4CA820A7" w:rsidR="005C72FB" w:rsidRPr="00467004" w:rsidRDefault="005C72FB" w:rsidP="005C72FB">
      <w:pPr>
        <w:rPr>
          <w:rFonts w:asciiTheme="majorHAnsi" w:hAnsiTheme="majorHAnsi" w:cstheme="majorHAnsi"/>
          <w:sz w:val="22"/>
        </w:rPr>
      </w:pPr>
      <w:r w:rsidRPr="00121F70">
        <w:rPr>
          <w:rFonts w:asciiTheme="majorHAnsi" w:hAnsiTheme="majorHAnsi" w:cstheme="majorHAnsi"/>
          <w:sz w:val="22"/>
        </w:rPr>
        <w:t xml:space="preserve">We </w:t>
      </w:r>
      <w:r w:rsidR="003D041F" w:rsidRPr="00121F70">
        <w:rPr>
          <w:rFonts w:asciiTheme="majorHAnsi" w:hAnsiTheme="majorHAnsi" w:cstheme="majorHAnsi"/>
          <w:sz w:val="22"/>
        </w:rPr>
        <w:t>re-</w:t>
      </w:r>
      <w:r w:rsidRPr="00121F70">
        <w:rPr>
          <w:rFonts w:asciiTheme="majorHAnsi" w:hAnsiTheme="majorHAnsi" w:cstheme="majorHAnsi"/>
          <w:sz w:val="22"/>
        </w:rPr>
        <w:t xml:space="preserve">applied the quantitative method </w:t>
      </w:r>
      <w:r w:rsidR="003D041F" w:rsidRPr="00121F70">
        <w:rPr>
          <w:rFonts w:asciiTheme="majorHAnsi" w:hAnsiTheme="majorHAnsi" w:cstheme="majorHAnsi"/>
          <w:sz w:val="22"/>
        </w:rPr>
        <w:t>outlined in Warawa et al. (2023)</w:t>
      </w:r>
      <w:r w:rsidR="003D041F">
        <w:rPr>
          <w:rFonts w:asciiTheme="majorHAnsi" w:hAnsiTheme="majorHAnsi" w:cstheme="majorHAnsi"/>
          <w:sz w:val="22"/>
        </w:rPr>
        <w:t xml:space="preserve"> </w:t>
      </w:r>
      <w:r w:rsidRPr="00121F70">
        <w:rPr>
          <w:rFonts w:asciiTheme="majorHAnsi" w:hAnsiTheme="majorHAnsi" w:cstheme="majorHAnsi"/>
          <w:sz w:val="22"/>
        </w:rPr>
        <w:t xml:space="preserve">to </w:t>
      </w:r>
      <w:r w:rsidR="003D041F" w:rsidRPr="00121F70">
        <w:rPr>
          <w:rFonts w:asciiTheme="majorHAnsi" w:hAnsiTheme="majorHAnsi" w:cstheme="majorHAnsi"/>
          <w:sz w:val="22"/>
        </w:rPr>
        <w:t>update</w:t>
      </w:r>
      <w:r w:rsidRPr="00121F70">
        <w:rPr>
          <w:rFonts w:asciiTheme="majorHAnsi" w:hAnsiTheme="majorHAnsi" w:cstheme="majorHAnsi"/>
          <w:sz w:val="22"/>
        </w:rPr>
        <w:t xml:space="preserve"> VME</w:t>
      </w:r>
      <w:r w:rsidR="003D041F" w:rsidRPr="00121F70">
        <w:rPr>
          <w:rFonts w:asciiTheme="majorHAnsi" w:hAnsiTheme="majorHAnsi" w:cstheme="majorHAnsi"/>
          <w:sz w:val="22"/>
        </w:rPr>
        <w:t xml:space="preserve"> identification</w:t>
      </w:r>
      <w:r w:rsidRPr="00121F70">
        <w:rPr>
          <w:rFonts w:asciiTheme="majorHAnsi" w:hAnsiTheme="majorHAnsi" w:cstheme="majorHAnsi"/>
          <w:sz w:val="22"/>
        </w:rPr>
        <w:t xml:space="preserve"> on Cobb Seamount, which is in international waters, close to Canada’s domestic waters (Figure 1). This seamount lies in the eastern </w:t>
      </w:r>
      <w:proofErr w:type="gramStart"/>
      <w:r w:rsidRPr="00121F70">
        <w:rPr>
          <w:rFonts w:asciiTheme="majorHAnsi" w:hAnsiTheme="majorHAnsi" w:cstheme="majorHAnsi"/>
          <w:sz w:val="22"/>
        </w:rPr>
        <w:t>part</w:t>
      </w:r>
      <w:proofErr w:type="gramEnd"/>
      <w:r w:rsidRPr="00121F70">
        <w:rPr>
          <w:rFonts w:asciiTheme="majorHAnsi" w:hAnsiTheme="majorHAnsi" w:cstheme="majorHAnsi"/>
          <w:sz w:val="22"/>
        </w:rPr>
        <w:t xml:space="preserve"> the NPFC</w:t>
      </w:r>
      <w:r w:rsidR="00D60A7D" w:rsidRPr="00121F70">
        <w:rPr>
          <w:rFonts w:asciiTheme="majorHAnsi" w:hAnsiTheme="majorHAnsi" w:cstheme="majorHAnsi"/>
          <w:sz w:val="22"/>
        </w:rPr>
        <w:t>’s</w:t>
      </w:r>
      <w:r w:rsidRPr="00121F70">
        <w:rPr>
          <w:rFonts w:asciiTheme="majorHAnsi" w:hAnsiTheme="majorHAnsi" w:cstheme="majorHAnsi"/>
          <w:sz w:val="22"/>
        </w:rPr>
        <w:t xml:space="preserve"> </w:t>
      </w:r>
      <w:r w:rsidR="00D60A7D" w:rsidRPr="00121F70">
        <w:rPr>
          <w:rFonts w:asciiTheme="majorHAnsi" w:hAnsiTheme="majorHAnsi" w:cstheme="majorHAnsi"/>
          <w:sz w:val="22"/>
        </w:rPr>
        <w:t>Convention Area</w:t>
      </w:r>
      <w:r w:rsidRPr="00121F70">
        <w:rPr>
          <w:rFonts w:asciiTheme="majorHAnsi" w:hAnsiTheme="majorHAnsi" w:cstheme="majorHAnsi"/>
          <w:sz w:val="22"/>
        </w:rPr>
        <w:t xml:space="preserve">. Cobb Seamount is a </w:t>
      </w:r>
      <w:proofErr w:type="gramStart"/>
      <w:r w:rsidRPr="00121F70">
        <w:rPr>
          <w:rFonts w:asciiTheme="majorHAnsi" w:hAnsiTheme="majorHAnsi" w:cstheme="majorHAnsi"/>
          <w:sz w:val="22"/>
        </w:rPr>
        <w:t>27 million year old</w:t>
      </w:r>
      <w:proofErr w:type="gramEnd"/>
      <w:r w:rsidRPr="00121F70">
        <w:rPr>
          <w:rFonts w:asciiTheme="majorHAnsi" w:hAnsiTheme="majorHAnsi" w:cstheme="majorHAnsi"/>
          <w:sz w:val="22"/>
        </w:rPr>
        <w:t xml:space="preserve"> symmetrical and terraced guyot with a centrally located pinnacle and an area of approximately 824 km</w:t>
      </w:r>
      <w:r w:rsidRPr="00121F70">
        <w:rPr>
          <w:rFonts w:asciiTheme="majorHAnsi" w:hAnsiTheme="majorHAnsi" w:cstheme="majorHAnsi"/>
          <w:sz w:val="22"/>
          <w:vertAlign w:val="superscript"/>
        </w:rPr>
        <w:t>2</w:t>
      </w:r>
      <w:r w:rsidRPr="00121F70">
        <w:rPr>
          <w:rFonts w:asciiTheme="majorHAnsi" w:hAnsiTheme="majorHAnsi" w:cstheme="majorHAnsi"/>
          <w:sz w:val="22"/>
        </w:rPr>
        <w:t xml:space="preserve"> (Budinger 1967) that rises from a base of 2,743 m </w:t>
      </w:r>
      <w:r w:rsidR="002D092A" w:rsidRPr="00121F70">
        <w:rPr>
          <w:rFonts w:asciiTheme="majorHAnsi" w:hAnsiTheme="majorHAnsi" w:cstheme="majorHAnsi"/>
          <w:sz w:val="22"/>
        </w:rPr>
        <w:t xml:space="preserve">in depth </w:t>
      </w:r>
      <w:r w:rsidRPr="00121F70">
        <w:rPr>
          <w:rFonts w:asciiTheme="majorHAnsi" w:hAnsiTheme="majorHAnsi" w:cstheme="majorHAnsi"/>
          <w:sz w:val="22"/>
        </w:rPr>
        <w:t>to within 24 m of the water’s surface (Parker &amp; Tunnicliffe 1994). Cobb Seamount was discovered in 1950 and has been the site of biological, geological, and oceanographic research, as well as several commercial fisheries, including for sablefish (</w:t>
      </w:r>
      <w:proofErr w:type="spellStart"/>
      <w:r w:rsidRPr="00121F70">
        <w:rPr>
          <w:rFonts w:asciiTheme="majorHAnsi" w:hAnsiTheme="majorHAnsi" w:cstheme="majorHAnsi"/>
          <w:i/>
          <w:iCs/>
          <w:sz w:val="22"/>
        </w:rPr>
        <w:t>Anop</w:t>
      </w:r>
      <w:r w:rsidR="00EB3035">
        <w:rPr>
          <w:rFonts w:asciiTheme="majorHAnsi" w:hAnsiTheme="majorHAnsi" w:cstheme="majorHAnsi"/>
          <w:i/>
          <w:iCs/>
          <w:sz w:val="22"/>
        </w:rPr>
        <w:t>l</w:t>
      </w:r>
      <w:r w:rsidRPr="00121F70">
        <w:rPr>
          <w:rFonts w:asciiTheme="majorHAnsi" w:hAnsiTheme="majorHAnsi" w:cstheme="majorHAnsi"/>
          <w:i/>
          <w:iCs/>
          <w:sz w:val="22"/>
        </w:rPr>
        <w:t>opoma</w:t>
      </w:r>
      <w:proofErr w:type="spellEnd"/>
      <w:r w:rsidRPr="00121F70">
        <w:rPr>
          <w:rFonts w:asciiTheme="majorHAnsi" w:hAnsiTheme="majorHAnsi" w:cstheme="majorHAnsi"/>
          <w:i/>
          <w:iCs/>
          <w:sz w:val="22"/>
        </w:rPr>
        <w:t xml:space="preserve"> fimbria</w:t>
      </w:r>
      <w:r w:rsidRPr="00121F70">
        <w:rPr>
          <w:rFonts w:asciiTheme="majorHAnsi" w:hAnsiTheme="majorHAnsi" w:cstheme="majorHAnsi"/>
          <w:sz w:val="22"/>
        </w:rPr>
        <w:t>). The Canadian commercial Sablefish fishery has been active in the area since the 1980s using mainly longline trap and some longline hook and line gear.</w:t>
      </w:r>
    </w:p>
    <w:p w14:paraId="4BC9493C" w14:textId="77777777" w:rsidR="009D0AB7" w:rsidRPr="00467004" w:rsidRDefault="009D0AB7" w:rsidP="005C72FB">
      <w:pPr>
        <w:rPr>
          <w:rFonts w:asciiTheme="majorHAnsi" w:hAnsiTheme="majorHAnsi" w:cstheme="majorHAnsi"/>
          <w:sz w:val="22"/>
        </w:rPr>
      </w:pPr>
    </w:p>
    <w:p w14:paraId="428BEF49" w14:textId="43B67387" w:rsidR="009D0AB7" w:rsidRPr="00467004" w:rsidRDefault="009D0AB7" w:rsidP="005C72FB">
      <w:pPr>
        <w:rPr>
          <w:rFonts w:asciiTheme="majorHAnsi" w:hAnsiTheme="majorHAnsi" w:cstheme="majorHAnsi"/>
          <w:sz w:val="22"/>
        </w:rPr>
      </w:pPr>
      <w:r w:rsidRPr="00467004">
        <w:rPr>
          <w:rFonts w:asciiTheme="majorHAnsi" w:hAnsiTheme="majorHAnsi" w:cstheme="majorHAnsi"/>
          <w:noProof/>
          <w:sz w:val="22"/>
        </w:rPr>
        <w:lastRenderedPageBreak/>
        <w:drawing>
          <wp:inline distT="0" distB="0" distL="0" distR="0" wp14:anchorId="301D8917" wp14:editId="7BBE0443">
            <wp:extent cx="4667250" cy="3848100"/>
            <wp:effectExtent l="0" t="0" r="0" b="0"/>
            <wp:docPr id="9289806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0" cy="3848100"/>
                    </a:xfrm>
                    <a:prstGeom prst="rect">
                      <a:avLst/>
                    </a:prstGeom>
                    <a:noFill/>
                    <a:ln>
                      <a:noFill/>
                    </a:ln>
                  </pic:spPr>
                </pic:pic>
              </a:graphicData>
            </a:graphic>
          </wp:inline>
        </w:drawing>
      </w:r>
    </w:p>
    <w:p w14:paraId="09D0B916" w14:textId="77777777" w:rsidR="009D0AB7" w:rsidRPr="00467004" w:rsidRDefault="009D0AB7" w:rsidP="005C72FB">
      <w:pPr>
        <w:rPr>
          <w:rFonts w:asciiTheme="majorHAnsi" w:hAnsiTheme="majorHAnsi" w:cstheme="majorHAnsi"/>
          <w:sz w:val="22"/>
        </w:rPr>
      </w:pPr>
    </w:p>
    <w:p w14:paraId="7BFB36D4" w14:textId="77777777" w:rsidR="009D0AB7" w:rsidRPr="00B7129C" w:rsidRDefault="009D0AB7" w:rsidP="009D0AB7">
      <w:pPr>
        <w:rPr>
          <w:rFonts w:asciiTheme="majorHAnsi" w:hAnsiTheme="majorHAnsi" w:cstheme="majorHAnsi"/>
          <w:sz w:val="22"/>
        </w:rPr>
      </w:pPr>
      <w:r w:rsidRPr="00B7129C">
        <w:rPr>
          <w:rFonts w:asciiTheme="majorHAnsi" w:hAnsiTheme="majorHAnsi" w:cstheme="majorHAnsi"/>
          <w:i/>
          <w:iCs/>
          <w:sz w:val="22"/>
        </w:rPr>
        <w:t xml:space="preserve">Figure 1. Study area map of Cobb Seamount and surrounding named seamounts. The inset map shows the location of the Cobb-Eickelberg seamount chain in the eastern north Pacific Ocean, just outside of Canada’s Exclusive Economic Zone shaded in grey. </w:t>
      </w:r>
    </w:p>
    <w:p w14:paraId="4D8F1AF7" w14:textId="77777777" w:rsidR="00D60A7D" w:rsidRPr="00B7129C" w:rsidRDefault="00D60A7D" w:rsidP="009D0AB7">
      <w:pPr>
        <w:rPr>
          <w:rFonts w:asciiTheme="majorHAnsi" w:hAnsiTheme="majorHAnsi" w:cstheme="majorHAnsi"/>
          <w:b/>
          <w:bCs/>
          <w:sz w:val="22"/>
        </w:rPr>
      </w:pPr>
    </w:p>
    <w:p w14:paraId="6F734F5C" w14:textId="08CD785C" w:rsidR="009D0AB7" w:rsidRPr="00B7129C" w:rsidRDefault="009D0AB7" w:rsidP="009D0AB7">
      <w:pPr>
        <w:rPr>
          <w:rFonts w:asciiTheme="majorHAnsi" w:hAnsiTheme="majorHAnsi" w:cstheme="majorHAnsi"/>
          <w:sz w:val="22"/>
        </w:rPr>
      </w:pPr>
      <w:r w:rsidRPr="00B7129C">
        <w:rPr>
          <w:rFonts w:asciiTheme="majorHAnsi" w:hAnsiTheme="majorHAnsi" w:cstheme="majorHAnsi"/>
          <w:b/>
          <w:bCs/>
          <w:sz w:val="22"/>
        </w:rPr>
        <w:t xml:space="preserve">Data and data processing </w:t>
      </w:r>
    </w:p>
    <w:p w14:paraId="7F97EEA1" w14:textId="0520CF75" w:rsidR="009D0AB7" w:rsidRPr="00467004" w:rsidRDefault="009D0AB7" w:rsidP="009D0AB7">
      <w:pPr>
        <w:rPr>
          <w:rFonts w:asciiTheme="majorHAnsi" w:hAnsiTheme="majorHAnsi" w:cstheme="majorHAnsi"/>
          <w:sz w:val="22"/>
        </w:rPr>
      </w:pPr>
      <w:r w:rsidRPr="00B7129C">
        <w:rPr>
          <w:rFonts w:asciiTheme="majorHAnsi" w:hAnsiTheme="majorHAnsi" w:cstheme="majorHAnsi"/>
          <w:sz w:val="22"/>
        </w:rPr>
        <w:t xml:space="preserve">Visual data were collected from Cobb Seamount in 2012 in a scientific survey to characterize </w:t>
      </w:r>
      <w:r w:rsidR="006703EB" w:rsidRPr="00B7129C">
        <w:rPr>
          <w:rFonts w:asciiTheme="majorHAnsi" w:hAnsiTheme="majorHAnsi" w:cstheme="majorHAnsi"/>
          <w:sz w:val="22"/>
        </w:rPr>
        <w:t>its</w:t>
      </w:r>
      <w:r w:rsidRPr="00B7129C">
        <w:rPr>
          <w:rFonts w:asciiTheme="majorHAnsi" w:hAnsiTheme="majorHAnsi" w:cstheme="majorHAnsi"/>
          <w:sz w:val="22"/>
        </w:rPr>
        <w:t xml:space="preserve"> benthic community structure (Curtis et al. 2015). Photos were taken using a </w:t>
      </w:r>
      <w:proofErr w:type="spellStart"/>
      <w:r w:rsidRPr="00B7129C">
        <w:rPr>
          <w:rFonts w:asciiTheme="majorHAnsi" w:hAnsiTheme="majorHAnsi" w:cstheme="majorHAnsi"/>
          <w:sz w:val="22"/>
        </w:rPr>
        <w:t>SeaBED</w:t>
      </w:r>
      <w:proofErr w:type="spellEnd"/>
      <w:r w:rsidRPr="00B7129C">
        <w:rPr>
          <w:rFonts w:asciiTheme="majorHAnsi" w:hAnsiTheme="majorHAnsi" w:cstheme="majorHAnsi"/>
          <w:sz w:val="22"/>
        </w:rPr>
        <w:t xml:space="preserve">-class autonomous underwater vehicle (AUV) deployed by the National Oceanic and Atmospheric Administration (NOAA), capable of diving to 1,400 m. We used the fully annotated dataset created by NOAA, which consisted of data extracted from 2,614 AUV photos. Photos were taken from four transects with an average length of 1805 m and ranging from 435 – 1154 m in depth (Figure 2). Discernable taxa, including corals, sponges, other invertebrates (but not brittle stars or snails), and </w:t>
      </w:r>
      <w:proofErr w:type="gramStart"/>
      <w:r w:rsidRPr="00B7129C">
        <w:rPr>
          <w:rFonts w:asciiTheme="majorHAnsi" w:hAnsiTheme="majorHAnsi" w:cstheme="majorHAnsi"/>
          <w:sz w:val="22"/>
        </w:rPr>
        <w:t>fishes</w:t>
      </w:r>
      <w:proofErr w:type="gramEnd"/>
      <w:r w:rsidRPr="00B7129C">
        <w:rPr>
          <w:rFonts w:asciiTheme="majorHAnsi" w:hAnsiTheme="majorHAnsi" w:cstheme="majorHAnsi"/>
          <w:sz w:val="22"/>
        </w:rPr>
        <w:t xml:space="preserve"> were identified and counted (Curtis et al. 2015).</w:t>
      </w:r>
      <w:r w:rsidRPr="009D0AB7">
        <w:rPr>
          <w:rFonts w:asciiTheme="majorHAnsi" w:hAnsiTheme="majorHAnsi" w:cstheme="majorHAnsi"/>
          <w:sz w:val="22"/>
        </w:rPr>
        <w:t xml:space="preserve"> </w:t>
      </w:r>
    </w:p>
    <w:p w14:paraId="010A886C" w14:textId="77777777" w:rsidR="009D0AB7" w:rsidRPr="009D0AB7" w:rsidRDefault="009D0AB7" w:rsidP="009D0AB7">
      <w:pPr>
        <w:rPr>
          <w:rFonts w:asciiTheme="majorHAnsi" w:hAnsiTheme="majorHAnsi" w:cstheme="majorHAnsi"/>
          <w:sz w:val="22"/>
        </w:rPr>
      </w:pPr>
    </w:p>
    <w:p w14:paraId="25BFDFF0" w14:textId="7596DBD1" w:rsidR="009D0AB7" w:rsidRPr="00467004" w:rsidRDefault="009D0AB7" w:rsidP="009D0AB7">
      <w:pPr>
        <w:rPr>
          <w:rFonts w:asciiTheme="majorHAnsi" w:hAnsiTheme="majorHAnsi" w:cstheme="majorHAnsi"/>
          <w:sz w:val="22"/>
        </w:rPr>
      </w:pPr>
      <w:r w:rsidRPr="00B7129C">
        <w:rPr>
          <w:rFonts w:asciiTheme="majorHAnsi" w:hAnsiTheme="majorHAnsi" w:cstheme="majorHAnsi"/>
          <w:sz w:val="22"/>
        </w:rPr>
        <w:t>To process the AUV data for analysis, transects were divided into area-standardized segments of 50 m</w:t>
      </w:r>
      <w:r w:rsidRPr="00B7129C">
        <w:rPr>
          <w:rFonts w:asciiTheme="majorHAnsi" w:hAnsiTheme="majorHAnsi" w:cstheme="majorHAnsi"/>
          <w:sz w:val="22"/>
          <w:vertAlign w:val="superscript"/>
        </w:rPr>
        <w:t>2</w:t>
      </w:r>
      <w:r w:rsidRPr="00B7129C">
        <w:rPr>
          <w:rFonts w:asciiTheme="majorHAnsi" w:hAnsiTheme="majorHAnsi" w:cstheme="majorHAnsi"/>
          <w:sz w:val="22"/>
        </w:rPr>
        <w:t xml:space="preserve"> by grouping adjacent photos until a combined area of 50 m</w:t>
      </w:r>
      <w:r w:rsidRPr="00B7129C">
        <w:rPr>
          <w:rFonts w:asciiTheme="majorHAnsi" w:hAnsiTheme="majorHAnsi" w:cstheme="majorHAnsi"/>
          <w:sz w:val="22"/>
          <w:vertAlign w:val="superscript"/>
        </w:rPr>
        <w:t>2</w:t>
      </w:r>
      <w:r w:rsidRPr="00B7129C">
        <w:rPr>
          <w:rFonts w:asciiTheme="majorHAnsi" w:hAnsiTheme="majorHAnsi" w:cstheme="majorHAnsi"/>
          <w:sz w:val="22"/>
        </w:rPr>
        <w:t xml:space="preserve"> was reached. Rowden et al. (2020) suggest that observations made at spatial scales between 25 m</w:t>
      </w:r>
      <w:r w:rsidRPr="00B7129C">
        <w:rPr>
          <w:rFonts w:asciiTheme="majorHAnsi" w:hAnsiTheme="majorHAnsi" w:cstheme="majorHAnsi"/>
          <w:sz w:val="22"/>
          <w:vertAlign w:val="superscript"/>
        </w:rPr>
        <w:t>2</w:t>
      </w:r>
      <w:r w:rsidRPr="00B7129C">
        <w:rPr>
          <w:rFonts w:asciiTheme="majorHAnsi" w:hAnsiTheme="majorHAnsi" w:cstheme="majorHAnsi"/>
          <w:sz w:val="22"/>
        </w:rPr>
        <w:t xml:space="preserve"> and 50 m</w:t>
      </w:r>
      <w:r w:rsidRPr="00B7129C">
        <w:rPr>
          <w:rFonts w:asciiTheme="majorHAnsi" w:hAnsiTheme="majorHAnsi" w:cstheme="majorHAnsi"/>
          <w:sz w:val="22"/>
          <w:vertAlign w:val="superscript"/>
        </w:rPr>
        <w:t>2</w:t>
      </w:r>
      <w:r w:rsidRPr="00B7129C">
        <w:rPr>
          <w:rFonts w:asciiTheme="majorHAnsi" w:hAnsiTheme="majorHAnsi" w:cstheme="majorHAnsi"/>
          <w:sz w:val="22"/>
        </w:rPr>
        <w:t xml:space="preserve"> result in more stable and reliable density estimates because they are more likely to capture whole coral reef patches. The area of each photo varied depending on the distance between the AUV and the seafloor when the photo was captured. We omitted transect segments from our analysis if they </w:t>
      </w:r>
      <w:r w:rsidRPr="00B7129C">
        <w:rPr>
          <w:rFonts w:asciiTheme="majorHAnsi" w:hAnsiTheme="majorHAnsi" w:cstheme="majorHAnsi"/>
          <w:sz w:val="22"/>
        </w:rPr>
        <w:lastRenderedPageBreak/>
        <w:t>were 10% smaller or larger than our target area (50 m</w:t>
      </w:r>
      <w:r w:rsidRPr="00B7129C">
        <w:rPr>
          <w:rFonts w:asciiTheme="majorHAnsi" w:hAnsiTheme="majorHAnsi" w:cstheme="majorHAnsi"/>
          <w:sz w:val="22"/>
          <w:vertAlign w:val="superscript"/>
        </w:rPr>
        <w:t>2</w:t>
      </w:r>
      <w:r w:rsidRPr="00B7129C">
        <w:rPr>
          <w:rFonts w:asciiTheme="majorHAnsi" w:hAnsiTheme="majorHAnsi" w:cstheme="majorHAnsi"/>
          <w:sz w:val="22"/>
        </w:rPr>
        <w:t>) to prevent a large variation in the actual final segment size. This resulted in the removal of 5.6% (13 out of a total of 234) of transect segments. Each 50 m transect segment group was composed of 5 – 12 AUV photos, depending on the area covered by each photo in the grouping.</w:t>
      </w:r>
    </w:p>
    <w:p w14:paraId="2E2CFBA3" w14:textId="77777777" w:rsidR="009D0AB7" w:rsidRDefault="009D0AB7" w:rsidP="009D0AB7">
      <w:pPr>
        <w:rPr>
          <w:rFonts w:asciiTheme="majorHAnsi" w:hAnsiTheme="majorHAnsi" w:cstheme="majorHAnsi"/>
          <w:sz w:val="22"/>
        </w:rPr>
      </w:pPr>
    </w:p>
    <w:p w14:paraId="1849A934" w14:textId="6215C752" w:rsidR="00BB291F" w:rsidRPr="00467004" w:rsidRDefault="00BB291F" w:rsidP="009D0AB7">
      <w:pPr>
        <w:rPr>
          <w:rFonts w:asciiTheme="majorHAnsi" w:hAnsiTheme="majorHAnsi" w:cstheme="majorHAnsi"/>
          <w:sz w:val="22"/>
        </w:rPr>
      </w:pPr>
      <w:r w:rsidRPr="00BB291F">
        <w:rPr>
          <w:rFonts w:asciiTheme="majorHAnsi" w:hAnsiTheme="majorHAnsi" w:cstheme="majorHAnsi"/>
          <w:noProof/>
          <w:sz w:val="22"/>
        </w:rPr>
        <w:drawing>
          <wp:inline distT="0" distB="0" distL="0" distR="0" wp14:anchorId="56438CA5" wp14:editId="33C9DC50">
            <wp:extent cx="4667250" cy="4667250"/>
            <wp:effectExtent l="0" t="0" r="0" b="0"/>
            <wp:docPr id="19032240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0" cy="4667250"/>
                    </a:xfrm>
                    <a:prstGeom prst="rect">
                      <a:avLst/>
                    </a:prstGeom>
                    <a:noFill/>
                    <a:ln>
                      <a:noFill/>
                    </a:ln>
                  </pic:spPr>
                </pic:pic>
              </a:graphicData>
            </a:graphic>
          </wp:inline>
        </w:drawing>
      </w:r>
    </w:p>
    <w:p w14:paraId="37F5549A" w14:textId="5133F286" w:rsidR="009D0AB7" w:rsidRPr="00467004" w:rsidRDefault="009D0AB7" w:rsidP="009D0AB7">
      <w:pPr>
        <w:rPr>
          <w:rFonts w:asciiTheme="majorHAnsi" w:hAnsiTheme="majorHAnsi" w:cstheme="majorHAnsi"/>
          <w:sz w:val="22"/>
        </w:rPr>
      </w:pPr>
    </w:p>
    <w:p w14:paraId="6E6312FC" w14:textId="77777777" w:rsidR="009D0AB7" w:rsidRPr="00B7129C" w:rsidRDefault="009D0AB7" w:rsidP="009D0AB7">
      <w:pPr>
        <w:rPr>
          <w:rFonts w:asciiTheme="majorHAnsi" w:hAnsiTheme="majorHAnsi" w:cstheme="majorHAnsi"/>
          <w:i/>
          <w:iCs/>
          <w:sz w:val="22"/>
        </w:rPr>
      </w:pPr>
      <w:r w:rsidRPr="00B7129C">
        <w:rPr>
          <w:rFonts w:asciiTheme="majorHAnsi" w:hAnsiTheme="majorHAnsi" w:cstheme="majorHAnsi"/>
          <w:i/>
          <w:iCs/>
          <w:sz w:val="22"/>
        </w:rPr>
        <w:t>Figure 2. Bathymetry map of Cobb Seamount showing the locations of four AUV transects (red) from the 2012 Cobb Seamount Survey (see Curtis et al. 2015 for more details).</w:t>
      </w:r>
    </w:p>
    <w:p w14:paraId="002C3B86" w14:textId="45BFE939" w:rsidR="009D0AB7" w:rsidRPr="00B7129C" w:rsidRDefault="009D0AB7" w:rsidP="009D0AB7">
      <w:pPr>
        <w:rPr>
          <w:rFonts w:asciiTheme="majorHAnsi" w:hAnsiTheme="majorHAnsi" w:cstheme="majorHAnsi"/>
          <w:sz w:val="22"/>
        </w:rPr>
      </w:pPr>
      <w:r w:rsidRPr="00B7129C">
        <w:rPr>
          <w:rFonts w:asciiTheme="majorHAnsi" w:hAnsiTheme="majorHAnsi" w:cstheme="majorHAnsi"/>
          <w:i/>
          <w:iCs/>
          <w:sz w:val="22"/>
        </w:rPr>
        <w:t xml:space="preserve"> </w:t>
      </w:r>
    </w:p>
    <w:p w14:paraId="3BF42AA5" w14:textId="77777777" w:rsidR="009D0AB7" w:rsidRPr="00B7129C" w:rsidRDefault="009D0AB7" w:rsidP="009D0AB7">
      <w:pPr>
        <w:rPr>
          <w:rFonts w:asciiTheme="majorHAnsi" w:hAnsiTheme="majorHAnsi" w:cstheme="majorHAnsi"/>
          <w:sz w:val="22"/>
        </w:rPr>
      </w:pPr>
      <w:r w:rsidRPr="00B7129C">
        <w:rPr>
          <w:rFonts w:asciiTheme="majorHAnsi" w:hAnsiTheme="majorHAnsi" w:cstheme="majorHAnsi"/>
          <w:b/>
          <w:bCs/>
          <w:sz w:val="22"/>
        </w:rPr>
        <w:t xml:space="preserve">Threshold estimation </w:t>
      </w:r>
    </w:p>
    <w:p w14:paraId="34355DED" w14:textId="0358F063" w:rsidR="009D0AB7" w:rsidRPr="00B7129C" w:rsidRDefault="009D0AB7" w:rsidP="009D0AB7">
      <w:pPr>
        <w:rPr>
          <w:rFonts w:asciiTheme="majorHAnsi" w:hAnsiTheme="majorHAnsi" w:cstheme="majorHAnsi"/>
          <w:sz w:val="22"/>
        </w:rPr>
      </w:pPr>
      <w:r w:rsidRPr="00B7129C">
        <w:rPr>
          <w:rFonts w:asciiTheme="majorHAnsi" w:hAnsiTheme="majorHAnsi" w:cstheme="majorHAnsi"/>
          <w:sz w:val="22"/>
        </w:rPr>
        <w:t xml:space="preserve">Generalized additive models (GAMs) fitting associated taxa richness (dependent variable) to </w:t>
      </w:r>
      <w:r w:rsidR="00E31EDA" w:rsidRPr="00B7129C">
        <w:rPr>
          <w:rFonts w:asciiTheme="majorHAnsi" w:hAnsiTheme="majorHAnsi" w:cstheme="majorHAnsi"/>
          <w:sz w:val="22"/>
        </w:rPr>
        <w:t xml:space="preserve">the density of </w:t>
      </w:r>
      <w:r w:rsidRPr="00B7129C">
        <w:rPr>
          <w:rFonts w:asciiTheme="majorHAnsi" w:hAnsiTheme="majorHAnsi" w:cstheme="majorHAnsi"/>
          <w:sz w:val="22"/>
        </w:rPr>
        <w:t>VME</w:t>
      </w:r>
      <w:r w:rsidR="00E31EDA" w:rsidRPr="00B7129C">
        <w:rPr>
          <w:rFonts w:asciiTheme="majorHAnsi" w:hAnsiTheme="majorHAnsi" w:cstheme="majorHAnsi"/>
          <w:sz w:val="22"/>
        </w:rPr>
        <w:t xml:space="preserve"> indicator taxa</w:t>
      </w:r>
      <w:r w:rsidRPr="00B7129C">
        <w:rPr>
          <w:rFonts w:asciiTheme="majorHAnsi" w:hAnsiTheme="majorHAnsi" w:cstheme="majorHAnsi"/>
          <w:sz w:val="22"/>
        </w:rPr>
        <w:t xml:space="preserve"> (independent variable) were used to estimate the VME </w:t>
      </w:r>
      <w:r w:rsidR="00145822" w:rsidRPr="00B7129C">
        <w:rPr>
          <w:rFonts w:asciiTheme="majorHAnsi" w:hAnsiTheme="majorHAnsi" w:cstheme="majorHAnsi"/>
          <w:sz w:val="22"/>
        </w:rPr>
        <w:t xml:space="preserve">indicator taxa density </w:t>
      </w:r>
      <w:r w:rsidRPr="00B7129C">
        <w:rPr>
          <w:rFonts w:asciiTheme="majorHAnsi" w:hAnsiTheme="majorHAnsi" w:cstheme="majorHAnsi"/>
          <w:sz w:val="22"/>
        </w:rPr>
        <w:t>threshold</w:t>
      </w:r>
      <w:r w:rsidR="00E31EDA" w:rsidRPr="00B7129C">
        <w:rPr>
          <w:rFonts w:asciiTheme="majorHAnsi" w:hAnsiTheme="majorHAnsi" w:cstheme="majorHAnsi"/>
          <w:sz w:val="22"/>
        </w:rPr>
        <w:t xml:space="preserve"> with pennatulaceans included as VME indicator taxa</w:t>
      </w:r>
      <w:r w:rsidRPr="00B7129C">
        <w:rPr>
          <w:rFonts w:asciiTheme="majorHAnsi" w:hAnsiTheme="majorHAnsi" w:cstheme="majorHAnsi"/>
          <w:sz w:val="22"/>
        </w:rPr>
        <w:t xml:space="preserve">. Final model selection was based on the lowest Akaike Information Criterion (AIC) score, while maintaining low standard error values. The GAMs were fit using a gaussian distribution and an identity link function. Depth was included as </w:t>
      </w:r>
      <w:r w:rsidR="00CB2B18">
        <w:rPr>
          <w:rFonts w:asciiTheme="majorHAnsi" w:hAnsiTheme="majorHAnsi" w:cstheme="majorHAnsi"/>
          <w:sz w:val="22"/>
        </w:rPr>
        <w:t xml:space="preserve">a </w:t>
      </w:r>
      <w:r w:rsidRPr="00B7129C">
        <w:rPr>
          <w:rFonts w:asciiTheme="majorHAnsi" w:hAnsiTheme="majorHAnsi" w:cstheme="majorHAnsi"/>
          <w:sz w:val="22"/>
        </w:rPr>
        <w:t xml:space="preserve">predictor variable </w:t>
      </w:r>
      <w:proofErr w:type="gramStart"/>
      <w:r w:rsidRPr="00B7129C">
        <w:rPr>
          <w:rFonts w:asciiTheme="majorHAnsi" w:hAnsiTheme="majorHAnsi" w:cstheme="majorHAnsi"/>
          <w:sz w:val="22"/>
        </w:rPr>
        <w:t>in order to</w:t>
      </w:r>
      <w:proofErr w:type="gramEnd"/>
      <w:r w:rsidRPr="00B7129C">
        <w:rPr>
          <w:rFonts w:asciiTheme="majorHAnsi" w:hAnsiTheme="majorHAnsi" w:cstheme="majorHAnsi"/>
          <w:sz w:val="22"/>
        </w:rPr>
        <w:t xml:space="preserve"> account for any differences in taxonomic diversity related solely to the changes in depth (e.g. decreases in overall diversity at deeper depths as </w:t>
      </w:r>
      <w:r w:rsidRPr="00B7129C">
        <w:rPr>
          <w:rFonts w:asciiTheme="majorHAnsi" w:hAnsiTheme="majorHAnsi" w:cstheme="majorHAnsi"/>
          <w:sz w:val="22"/>
        </w:rPr>
        <w:lastRenderedPageBreak/>
        <w:t xml:space="preserve">observed by other studies and meta-analysis (Costello and Chaudhary 2017, Davies and </w:t>
      </w:r>
      <w:proofErr w:type="spellStart"/>
      <w:r w:rsidRPr="00B7129C">
        <w:rPr>
          <w:rFonts w:asciiTheme="majorHAnsi" w:hAnsiTheme="majorHAnsi" w:cstheme="majorHAnsi"/>
          <w:sz w:val="22"/>
        </w:rPr>
        <w:t>Guinotte</w:t>
      </w:r>
      <w:proofErr w:type="spellEnd"/>
      <w:r w:rsidRPr="00B7129C">
        <w:rPr>
          <w:rFonts w:asciiTheme="majorHAnsi" w:hAnsiTheme="majorHAnsi" w:cstheme="majorHAnsi"/>
          <w:sz w:val="22"/>
        </w:rPr>
        <w:t xml:space="preserve"> </w:t>
      </w:r>
      <w:proofErr w:type="gramStart"/>
      <w:r w:rsidRPr="00B7129C">
        <w:rPr>
          <w:rFonts w:asciiTheme="majorHAnsi" w:hAnsiTheme="majorHAnsi" w:cstheme="majorHAnsi"/>
          <w:sz w:val="22"/>
        </w:rPr>
        <w:t>2011 ,</w:t>
      </w:r>
      <w:proofErr w:type="gramEnd"/>
      <w:r w:rsidRPr="00B7129C">
        <w:rPr>
          <w:rFonts w:asciiTheme="majorHAnsi" w:hAnsiTheme="majorHAnsi" w:cstheme="majorHAnsi"/>
          <w:sz w:val="22"/>
        </w:rPr>
        <w:t xml:space="preserve"> Georgian et al. 2014). Transect was included as a random effect in the model to account for the potential dependence of observations taken from the same transect (see Figure 2). The number of </w:t>
      </w:r>
      <w:proofErr w:type="spellStart"/>
      <w:r w:rsidRPr="00B7129C">
        <w:rPr>
          <w:rFonts w:asciiTheme="majorHAnsi" w:hAnsiTheme="majorHAnsi" w:cstheme="majorHAnsi"/>
          <w:sz w:val="22"/>
        </w:rPr>
        <w:t>basis</w:t>
      </w:r>
      <w:proofErr w:type="spellEnd"/>
      <w:r w:rsidRPr="00B7129C">
        <w:rPr>
          <w:rFonts w:asciiTheme="majorHAnsi" w:hAnsiTheme="majorHAnsi" w:cstheme="majorHAnsi"/>
          <w:sz w:val="22"/>
        </w:rPr>
        <w:t xml:space="preserve"> functions or inflection points in the smooth terms (k) was assessed to ensure dimension choices were adequate. Model accuracy was estimated using the adjusted R</w:t>
      </w:r>
      <w:r w:rsidRPr="00B7129C">
        <w:rPr>
          <w:rFonts w:asciiTheme="majorHAnsi" w:hAnsiTheme="majorHAnsi" w:cstheme="majorHAnsi"/>
          <w:sz w:val="22"/>
          <w:vertAlign w:val="superscript"/>
        </w:rPr>
        <w:t>2</w:t>
      </w:r>
      <w:r w:rsidRPr="00B7129C">
        <w:rPr>
          <w:rFonts w:asciiTheme="majorHAnsi" w:hAnsiTheme="majorHAnsi" w:cstheme="majorHAnsi"/>
          <w:sz w:val="22"/>
        </w:rPr>
        <w:t xml:space="preserve"> values and model fit was compared using AIC score. The final model formula is shown below, where bs</w:t>
      </w:r>
      <w:r w:rsidR="00CB2B18">
        <w:rPr>
          <w:rFonts w:asciiTheme="majorHAnsi" w:hAnsiTheme="majorHAnsi" w:cstheme="majorHAnsi"/>
          <w:sz w:val="22"/>
        </w:rPr>
        <w:t xml:space="preserve"> </w:t>
      </w:r>
      <w:r w:rsidRPr="00B7129C">
        <w:rPr>
          <w:rFonts w:asciiTheme="majorHAnsi" w:hAnsiTheme="majorHAnsi" w:cstheme="majorHAnsi"/>
          <w:sz w:val="22"/>
        </w:rPr>
        <w:t>=</w:t>
      </w:r>
      <w:r w:rsidR="00CB2B18">
        <w:rPr>
          <w:rFonts w:asciiTheme="majorHAnsi" w:hAnsiTheme="majorHAnsi" w:cstheme="majorHAnsi"/>
          <w:sz w:val="22"/>
        </w:rPr>
        <w:t xml:space="preserve"> “</w:t>
      </w:r>
      <w:r w:rsidRPr="00B7129C">
        <w:rPr>
          <w:rFonts w:asciiTheme="majorHAnsi" w:hAnsiTheme="majorHAnsi" w:cstheme="majorHAnsi"/>
          <w:sz w:val="22"/>
        </w:rPr>
        <w:t xml:space="preserve">re” indicates the variable treated as a random effect and s indicates a cubic spline smoother: </w:t>
      </w:r>
    </w:p>
    <w:p w14:paraId="14A8C3C0" w14:textId="77777777" w:rsidR="009D0AB7" w:rsidRPr="00B7129C" w:rsidRDefault="009D0AB7" w:rsidP="009D0AB7">
      <w:pPr>
        <w:rPr>
          <w:rFonts w:asciiTheme="majorHAnsi" w:hAnsiTheme="majorHAnsi" w:cstheme="majorHAnsi"/>
          <w:sz w:val="22"/>
        </w:rPr>
      </w:pPr>
    </w:p>
    <w:p w14:paraId="7E6124AF" w14:textId="77777777" w:rsidR="009D0AB7" w:rsidRPr="00B7129C" w:rsidRDefault="009D0AB7" w:rsidP="009D0AB7">
      <w:pPr>
        <w:rPr>
          <w:rFonts w:asciiTheme="majorHAnsi" w:hAnsiTheme="majorHAnsi" w:cstheme="majorHAnsi"/>
          <w:sz w:val="22"/>
        </w:rPr>
      </w:pPr>
      <w:r w:rsidRPr="00B7129C">
        <w:rPr>
          <w:rFonts w:asciiTheme="majorHAnsi" w:hAnsiTheme="majorHAnsi" w:cstheme="majorHAnsi"/>
          <w:i/>
          <w:iCs/>
          <w:sz w:val="22"/>
        </w:rPr>
        <w:t xml:space="preserve">Species richness ~ </w:t>
      </w:r>
      <w:proofErr w:type="gramStart"/>
      <w:r w:rsidRPr="00B7129C">
        <w:rPr>
          <w:rFonts w:asciiTheme="majorHAnsi" w:hAnsiTheme="majorHAnsi" w:cstheme="majorHAnsi"/>
          <w:i/>
          <w:iCs/>
          <w:sz w:val="22"/>
        </w:rPr>
        <w:t>s(</w:t>
      </w:r>
      <w:proofErr w:type="gramEnd"/>
      <w:r w:rsidRPr="00B7129C">
        <w:rPr>
          <w:rFonts w:asciiTheme="majorHAnsi" w:hAnsiTheme="majorHAnsi" w:cstheme="majorHAnsi"/>
          <w:i/>
          <w:iCs/>
          <w:sz w:val="22"/>
        </w:rPr>
        <w:t xml:space="preserve">VME density) + s(depth) + </w:t>
      </w:r>
      <w:proofErr w:type="gramStart"/>
      <w:r w:rsidRPr="00B7129C">
        <w:rPr>
          <w:rFonts w:asciiTheme="majorHAnsi" w:hAnsiTheme="majorHAnsi" w:cstheme="majorHAnsi"/>
          <w:i/>
          <w:iCs/>
          <w:sz w:val="22"/>
        </w:rPr>
        <w:t>s(</w:t>
      </w:r>
      <w:proofErr w:type="gramEnd"/>
      <w:r w:rsidRPr="00B7129C">
        <w:rPr>
          <w:rFonts w:asciiTheme="majorHAnsi" w:hAnsiTheme="majorHAnsi" w:cstheme="majorHAnsi"/>
          <w:i/>
          <w:iCs/>
          <w:sz w:val="22"/>
        </w:rPr>
        <w:t xml:space="preserve">transect, bs="re") </w:t>
      </w:r>
    </w:p>
    <w:p w14:paraId="710FD629" w14:textId="77777777" w:rsidR="009D0AB7" w:rsidRPr="00B7129C" w:rsidRDefault="009D0AB7" w:rsidP="009D0AB7">
      <w:pPr>
        <w:rPr>
          <w:rFonts w:asciiTheme="majorHAnsi" w:hAnsiTheme="majorHAnsi" w:cstheme="majorHAnsi"/>
          <w:sz w:val="22"/>
        </w:rPr>
      </w:pPr>
    </w:p>
    <w:p w14:paraId="6FC95ABD" w14:textId="765252B4" w:rsidR="009D0AB7" w:rsidRPr="009D0AB7" w:rsidRDefault="009D0AB7" w:rsidP="009D0AB7">
      <w:pPr>
        <w:rPr>
          <w:rFonts w:asciiTheme="majorHAnsi" w:hAnsiTheme="majorHAnsi" w:cstheme="majorHAnsi"/>
          <w:sz w:val="22"/>
        </w:rPr>
      </w:pPr>
      <w:r w:rsidRPr="00B7129C">
        <w:rPr>
          <w:rFonts w:asciiTheme="majorHAnsi" w:hAnsiTheme="majorHAnsi" w:cstheme="majorHAnsi"/>
          <w:sz w:val="22"/>
        </w:rPr>
        <w:t xml:space="preserve">We calculated the VME </w:t>
      </w:r>
      <w:r w:rsidR="00E31EDA" w:rsidRPr="00B7129C">
        <w:rPr>
          <w:rFonts w:asciiTheme="majorHAnsi" w:hAnsiTheme="majorHAnsi" w:cstheme="majorHAnsi"/>
          <w:sz w:val="22"/>
        </w:rPr>
        <w:t xml:space="preserve">indicator </w:t>
      </w:r>
      <w:r w:rsidR="007709F4" w:rsidRPr="00B7129C">
        <w:rPr>
          <w:rFonts w:asciiTheme="majorHAnsi" w:hAnsiTheme="majorHAnsi" w:cstheme="majorHAnsi"/>
          <w:sz w:val="22"/>
        </w:rPr>
        <w:t xml:space="preserve">taxa </w:t>
      </w:r>
      <w:r w:rsidRPr="00B7129C">
        <w:rPr>
          <w:rFonts w:asciiTheme="majorHAnsi" w:hAnsiTheme="majorHAnsi" w:cstheme="majorHAnsi"/>
          <w:sz w:val="22"/>
        </w:rPr>
        <w:t>density threshold from the GAM using the same four methods outlined in Rowden et al. (2020)</w:t>
      </w:r>
      <w:r w:rsidR="00E31EDA" w:rsidRPr="00B7129C">
        <w:rPr>
          <w:rFonts w:asciiTheme="majorHAnsi" w:hAnsiTheme="majorHAnsi" w:cstheme="majorHAnsi"/>
          <w:sz w:val="22"/>
        </w:rPr>
        <w:t xml:space="preserve"> and Warawa et al. (</w:t>
      </w:r>
      <w:r w:rsidR="00E31EDA" w:rsidRPr="004C6D02">
        <w:rPr>
          <w:rFonts w:asciiTheme="majorHAnsi" w:hAnsiTheme="majorHAnsi" w:cstheme="majorHAnsi"/>
          <w:sz w:val="22"/>
        </w:rPr>
        <w:t>2023)</w:t>
      </w:r>
      <w:r w:rsidRPr="004C6D02">
        <w:rPr>
          <w:rFonts w:asciiTheme="majorHAnsi" w:hAnsiTheme="majorHAnsi" w:cstheme="majorHAnsi"/>
          <w:sz w:val="22"/>
        </w:rPr>
        <w:t xml:space="preserve"> </w:t>
      </w:r>
      <w:r w:rsidRPr="00B7129C">
        <w:rPr>
          <w:rFonts w:asciiTheme="majorHAnsi" w:hAnsiTheme="majorHAnsi" w:cstheme="majorHAnsi"/>
          <w:sz w:val="22"/>
        </w:rPr>
        <w:t xml:space="preserve">and used the average as the final </w:t>
      </w:r>
      <w:r w:rsidR="00B352B9">
        <w:rPr>
          <w:rFonts w:asciiTheme="majorHAnsi" w:hAnsiTheme="majorHAnsi" w:cstheme="majorHAnsi"/>
          <w:sz w:val="22"/>
        </w:rPr>
        <w:t xml:space="preserve">updated </w:t>
      </w:r>
      <w:r w:rsidRPr="00B7129C">
        <w:rPr>
          <w:rFonts w:asciiTheme="majorHAnsi" w:hAnsiTheme="majorHAnsi" w:cstheme="majorHAnsi"/>
          <w:sz w:val="22"/>
        </w:rPr>
        <w:t xml:space="preserve">threshold value. The methods include: (1) the point of intersection of linear regressions using the initial and final 5% of data, (2) the point of intersection between a linear regression using the initial 5% of data and the maximum cumulative species richness value, (3) the point on the curve that is closest to the top right corner (0,1), and (4) the point on the curve that maximizes the distance between the curve and the line between extreme points (Youden Index). See Figure S2 in Rowden et al. </w:t>
      </w:r>
      <w:r w:rsidR="00E31EDA" w:rsidRPr="00B7129C">
        <w:rPr>
          <w:rFonts w:asciiTheme="majorHAnsi" w:hAnsiTheme="majorHAnsi" w:cstheme="majorHAnsi"/>
          <w:sz w:val="22"/>
        </w:rPr>
        <w:t>(</w:t>
      </w:r>
      <w:r w:rsidRPr="00B7129C">
        <w:rPr>
          <w:rFonts w:asciiTheme="majorHAnsi" w:hAnsiTheme="majorHAnsi" w:cstheme="majorHAnsi"/>
          <w:sz w:val="22"/>
        </w:rPr>
        <w:t>2020</w:t>
      </w:r>
      <w:r w:rsidR="00E31EDA" w:rsidRPr="00B7129C">
        <w:rPr>
          <w:rFonts w:asciiTheme="majorHAnsi" w:hAnsiTheme="majorHAnsi" w:cstheme="majorHAnsi"/>
          <w:sz w:val="22"/>
        </w:rPr>
        <w:t>)</w:t>
      </w:r>
      <w:r w:rsidRPr="00B7129C">
        <w:rPr>
          <w:rFonts w:asciiTheme="majorHAnsi" w:hAnsiTheme="majorHAnsi" w:cstheme="majorHAnsi"/>
          <w:sz w:val="22"/>
        </w:rPr>
        <w:t xml:space="preserve"> for a visual explanation of these methods using hypothetical curves.</w:t>
      </w:r>
      <w:r w:rsidRPr="009D0AB7">
        <w:rPr>
          <w:rFonts w:asciiTheme="majorHAnsi" w:hAnsiTheme="majorHAnsi" w:cstheme="majorHAnsi"/>
          <w:sz w:val="22"/>
        </w:rPr>
        <w:t xml:space="preserve"> </w:t>
      </w:r>
    </w:p>
    <w:p w14:paraId="649D59B1" w14:textId="77777777" w:rsidR="009D0AB7" w:rsidRPr="00467004" w:rsidRDefault="009D0AB7" w:rsidP="009D0AB7">
      <w:pPr>
        <w:rPr>
          <w:rFonts w:asciiTheme="majorHAnsi" w:hAnsiTheme="majorHAnsi" w:cstheme="majorHAnsi"/>
          <w:b/>
          <w:bCs/>
          <w:sz w:val="22"/>
        </w:rPr>
      </w:pPr>
    </w:p>
    <w:p w14:paraId="1AAAE698" w14:textId="0797C641" w:rsidR="009D0AB7" w:rsidRPr="00B7129C" w:rsidRDefault="009D0AB7" w:rsidP="009D0AB7">
      <w:pPr>
        <w:rPr>
          <w:rFonts w:asciiTheme="majorHAnsi" w:hAnsiTheme="majorHAnsi" w:cstheme="majorHAnsi"/>
          <w:sz w:val="22"/>
        </w:rPr>
      </w:pPr>
      <w:r w:rsidRPr="00B7129C">
        <w:rPr>
          <w:rFonts w:asciiTheme="majorHAnsi" w:hAnsiTheme="majorHAnsi" w:cstheme="majorHAnsi"/>
          <w:b/>
          <w:bCs/>
          <w:sz w:val="22"/>
        </w:rPr>
        <w:t xml:space="preserve">Identifying VMEs </w:t>
      </w:r>
    </w:p>
    <w:p w14:paraId="295D1848" w14:textId="7C91AA53" w:rsidR="009D0AB7" w:rsidRPr="00B7129C" w:rsidRDefault="009D0AB7" w:rsidP="009D0AB7">
      <w:pPr>
        <w:rPr>
          <w:rFonts w:asciiTheme="majorHAnsi" w:hAnsiTheme="majorHAnsi" w:cstheme="majorHAnsi"/>
          <w:sz w:val="22"/>
        </w:rPr>
      </w:pPr>
      <w:r w:rsidRPr="00B7129C">
        <w:rPr>
          <w:rFonts w:asciiTheme="majorHAnsi" w:hAnsiTheme="majorHAnsi" w:cstheme="majorHAnsi"/>
          <w:sz w:val="22"/>
        </w:rPr>
        <w:t xml:space="preserve">We identify areas as VMEs that meet the FAO VME criteria of structural complexity (FAO 2009), where </w:t>
      </w:r>
      <w:r w:rsidR="00E31EDA" w:rsidRPr="00B7129C">
        <w:rPr>
          <w:rFonts w:asciiTheme="majorHAnsi" w:hAnsiTheme="majorHAnsi" w:cstheme="majorHAnsi"/>
          <w:sz w:val="22"/>
        </w:rPr>
        <w:t xml:space="preserve">annotated </w:t>
      </w:r>
      <w:r w:rsidRPr="00B7129C">
        <w:rPr>
          <w:rFonts w:asciiTheme="majorHAnsi" w:hAnsiTheme="majorHAnsi" w:cstheme="majorHAnsi"/>
          <w:sz w:val="22"/>
        </w:rPr>
        <w:t>visual data report VME indicator taxa</w:t>
      </w:r>
      <w:r w:rsidR="00E31EDA" w:rsidRPr="00B7129C">
        <w:rPr>
          <w:rFonts w:asciiTheme="majorHAnsi" w:hAnsiTheme="majorHAnsi" w:cstheme="majorHAnsi"/>
          <w:sz w:val="22"/>
        </w:rPr>
        <w:t>, including the pennatulaceans,</w:t>
      </w:r>
      <w:r w:rsidRPr="00B7129C">
        <w:rPr>
          <w:rFonts w:asciiTheme="majorHAnsi" w:hAnsiTheme="majorHAnsi" w:cstheme="majorHAnsi"/>
          <w:sz w:val="22"/>
        </w:rPr>
        <w:t xml:space="preserve"> in densities equal to or greater than our </w:t>
      </w:r>
      <w:r w:rsidR="00B352B9">
        <w:rPr>
          <w:rFonts w:asciiTheme="majorHAnsi" w:hAnsiTheme="majorHAnsi" w:cstheme="majorHAnsi"/>
          <w:sz w:val="22"/>
        </w:rPr>
        <w:t xml:space="preserve">updated </w:t>
      </w:r>
      <w:r w:rsidRPr="00B7129C">
        <w:rPr>
          <w:rFonts w:asciiTheme="majorHAnsi" w:hAnsiTheme="majorHAnsi" w:cstheme="majorHAnsi"/>
          <w:sz w:val="22"/>
        </w:rPr>
        <w:t xml:space="preserve">regional VME density threshold. </w:t>
      </w:r>
    </w:p>
    <w:p w14:paraId="65F368CD" w14:textId="77777777" w:rsidR="009D0AB7" w:rsidRPr="00B7129C" w:rsidRDefault="009D0AB7" w:rsidP="009D0AB7">
      <w:pPr>
        <w:rPr>
          <w:rFonts w:asciiTheme="majorHAnsi" w:hAnsiTheme="majorHAnsi" w:cstheme="majorHAnsi"/>
          <w:b/>
          <w:bCs/>
          <w:sz w:val="22"/>
        </w:rPr>
      </w:pPr>
    </w:p>
    <w:p w14:paraId="0480A155" w14:textId="46088073" w:rsidR="009D0AB7" w:rsidRPr="00B7129C" w:rsidRDefault="009D0AB7" w:rsidP="009D0AB7">
      <w:pPr>
        <w:rPr>
          <w:rFonts w:asciiTheme="majorHAnsi" w:hAnsiTheme="majorHAnsi" w:cstheme="majorHAnsi"/>
          <w:b/>
          <w:bCs/>
          <w:sz w:val="22"/>
        </w:rPr>
      </w:pPr>
      <w:r w:rsidRPr="00B7129C">
        <w:rPr>
          <w:rFonts w:asciiTheme="majorHAnsi" w:hAnsiTheme="majorHAnsi" w:cstheme="majorHAnsi"/>
          <w:b/>
          <w:bCs/>
          <w:sz w:val="22"/>
        </w:rPr>
        <w:t xml:space="preserve">RESULTS </w:t>
      </w:r>
    </w:p>
    <w:p w14:paraId="55B9E2A4" w14:textId="77777777" w:rsidR="009D0AB7" w:rsidRPr="00B7129C" w:rsidRDefault="009D0AB7" w:rsidP="009D0AB7">
      <w:pPr>
        <w:rPr>
          <w:rFonts w:asciiTheme="majorHAnsi" w:hAnsiTheme="majorHAnsi" w:cstheme="majorHAnsi"/>
          <w:sz w:val="22"/>
        </w:rPr>
      </w:pPr>
      <w:r w:rsidRPr="00B7129C">
        <w:rPr>
          <w:rFonts w:asciiTheme="majorHAnsi" w:hAnsiTheme="majorHAnsi" w:cstheme="majorHAnsi"/>
          <w:b/>
          <w:bCs/>
          <w:sz w:val="22"/>
        </w:rPr>
        <w:t xml:space="preserve">VME density threshold </w:t>
      </w:r>
    </w:p>
    <w:p w14:paraId="57388039" w14:textId="3D90962A" w:rsidR="009D0AB7" w:rsidRPr="00B7129C" w:rsidRDefault="009D0AB7" w:rsidP="009D0AB7">
      <w:pPr>
        <w:rPr>
          <w:rFonts w:asciiTheme="majorHAnsi" w:hAnsiTheme="majorHAnsi" w:cstheme="majorHAnsi"/>
          <w:sz w:val="22"/>
        </w:rPr>
      </w:pPr>
      <w:r w:rsidRPr="00B7129C">
        <w:rPr>
          <w:rFonts w:asciiTheme="majorHAnsi" w:hAnsiTheme="majorHAnsi" w:cstheme="majorHAnsi"/>
          <w:sz w:val="22"/>
        </w:rPr>
        <w:t>The density of VME indicator taxa</w:t>
      </w:r>
      <w:r w:rsidR="00E31EDA" w:rsidRPr="00B7129C">
        <w:rPr>
          <w:rFonts w:asciiTheme="majorHAnsi" w:hAnsiTheme="majorHAnsi" w:cstheme="majorHAnsi"/>
          <w:sz w:val="22"/>
        </w:rPr>
        <w:t>, including pennatulaceans,</w:t>
      </w:r>
      <w:r w:rsidRPr="00B7129C">
        <w:rPr>
          <w:rFonts w:asciiTheme="majorHAnsi" w:hAnsiTheme="majorHAnsi" w:cstheme="majorHAnsi"/>
          <w:sz w:val="22"/>
        </w:rPr>
        <w:t xml:space="preserve"> was calculated for n = 221 50</w:t>
      </w:r>
      <w:r w:rsidR="00E31EDA" w:rsidRPr="00B7129C">
        <w:rPr>
          <w:rFonts w:asciiTheme="majorHAnsi" w:hAnsiTheme="majorHAnsi" w:cstheme="majorHAnsi"/>
          <w:sz w:val="22"/>
        </w:rPr>
        <w:t xml:space="preserve"> </w:t>
      </w:r>
      <w:r w:rsidRPr="00B7129C">
        <w:rPr>
          <w:rFonts w:asciiTheme="majorHAnsi" w:hAnsiTheme="majorHAnsi" w:cstheme="majorHAnsi"/>
          <w:sz w:val="22"/>
        </w:rPr>
        <w:t>m</w:t>
      </w:r>
      <w:r w:rsidRPr="00B7129C">
        <w:rPr>
          <w:rFonts w:asciiTheme="majorHAnsi" w:hAnsiTheme="majorHAnsi" w:cstheme="majorHAnsi"/>
          <w:sz w:val="22"/>
          <w:vertAlign w:val="superscript"/>
        </w:rPr>
        <w:t>2</w:t>
      </w:r>
      <w:r w:rsidRPr="00B7129C">
        <w:rPr>
          <w:rFonts w:asciiTheme="majorHAnsi" w:hAnsiTheme="majorHAnsi" w:cstheme="majorHAnsi"/>
          <w:sz w:val="22"/>
        </w:rPr>
        <w:t xml:space="preserve"> segments of the AUV transects on Cobb Seamount. The number of associated species (richness) ranged from </w:t>
      </w:r>
      <w:r w:rsidR="00C115CE" w:rsidRPr="00B7129C">
        <w:rPr>
          <w:rFonts w:asciiTheme="majorHAnsi" w:hAnsiTheme="majorHAnsi" w:cstheme="majorHAnsi"/>
          <w:sz w:val="22"/>
        </w:rPr>
        <w:t>2 to 14</w:t>
      </w:r>
      <w:r w:rsidRPr="00B7129C">
        <w:rPr>
          <w:rFonts w:asciiTheme="majorHAnsi" w:hAnsiTheme="majorHAnsi" w:cstheme="majorHAnsi"/>
          <w:sz w:val="22"/>
        </w:rPr>
        <w:t xml:space="preserve"> per 50</w:t>
      </w:r>
      <w:r w:rsidR="00E31EDA" w:rsidRPr="00B7129C">
        <w:rPr>
          <w:rFonts w:asciiTheme="majorHAnsi" w:hAnsiTheme="majorHAnsi" w:cstheme="majorHAnsi"/>
          <w:sz w:val="22"/>
        </w:rPr>
        <w:t xml:space="preserve"> </w:t>
      </w:r>
      <w:r w:rsidRPr="00B7129C">
        <w:rPr>
          <w:rFonts w:asciiTheme="majorHAnsi" w:hAnsiTheme="majorHAnsi" w:cstheme="majorHAnsi"/>
          <w:sz w:val="22"/>
        </w:rPr>
        <w:t>m</w:t>
      </w:r>
      <w:r w:rsidRPr="00B7129C">
        <w:rPr>
          <w:rFonts w:asciiTheme="majorHAnsi" w:hAnsiTheme="majorHAnsi" w:cstheme="majorHAnsi"/>
          <w:sz w:val="22"/>
          <w:vertAlign w:val="superscript"/>
        </w:rPr>
        <w:t>2</w:t>
      </w:r>
      <w:r w:rsidRPr="00B7129C">
        <w:rPr>
          <w:rFonts w:asciiTheme="majorHAnsi" w:hAnsiTheme="majorHAnsi" w:cstheme="majorHAnsi"/>
          <w:sz w:val="22"/>
        </w:rPr>
        <w:t xml:space="preserve"> transect segment, with a mean of </w:t>
      </w:r>
      <w:r w:rsidR="0066430C" w:rsidRPr="00B7129C">
        <w:rPr>
          <w:rFonts w:asciiTheme="majorHAnsi" w:hAnsiTheme="majorHAnsi" w:cstheme="majorHAnsi"/>
          <w:sz w:val="22"/>
        </w:rPr>
        <w:t>6.7</w:t>
      </w:r>
      <w:r w:rsidRPr="00B7129C">
        <w:rPr>
          <w:rFonts w:asciiTheme="majorHAnsi" w:hAnsiTheme="majorHAnsi" w:cstheme="majorHAnsi"/>
          <w:sz w:val="22"/>
        </w:rPr>
        <w:t xml:space="preserve"> (SD = </w:t>
      </w:r>
      <w:r w:rsidR="0066430C" w:rsidRPr="00B7129C">
        <w:rPr>
          <w:rFonts w:asciiTheme="majorHAnsi" w:hAnsiTheme="majorHAnsi" w:cstheme="majorHAnsi"/>
          <w:sz w:val="22"/>
        </w:rPr>
        <w:t>2.2</w:t>
      </w:r>
      <w:r w:rsidRPr="00B7129C">
        <w:rPr>
          <w:rFonts w:asciiTheme="majorHAnsi" w:hAnsiTheme="majorHAnsi" w:cstheme="majorHAnsi"/>
          <w:sz w:val="22"/>
        </w:rPr>
        <w:t>). The density of VME indicators ranged from 0 to 1.</w:t>
      </w:r>
      <w:r w:rsidR="0066430C" w:rsidRPr="00B7129C">
        <w:rPr>
          <w:rFonts w:asciiTheme="majorHAnsi" w:hAnsiTheme="majorHAnsi" w:cstheme="majorHAnsi"/>
          <w:sz w:val="22"/>
        </w:rPr>
        <w:t xml:space="preserve">18 </w:t>
      </w:r>
      <w:r w:rsidRPr="00B7129C">
        <w:rPr>
          <w:rFonts w:asciiTheme="majorHAnsi" w:hAnsiTheme="majorHAnsi" w:cstheme="majorHAnsi"/>
          <w:sz w:val="22"/>
        </w:rPr>
        <w:t>colonies m</w:t>
      </w:r>
      <w:r w:rsidRPr="00B7129C">
        <w:rPr>
          <w:rFonts w:asciiTheme="majorHAnsi" w:hAnsiTheme="majorHAnsi" w:cstheme="majorHAnsi"/>
          <w:sz w:val="22"/>
          <w:vertAlign w:val="superscript"/>
        </w:rPr>
        <w:t>-2</w:t>
      </w:r>
      <w:r w:rsidRPr="00B7129C">
        <w:rPr>
          <w:rFonts w:asciiTheme="majorHAnsi" w:hAnsiTheme="majorHAnsi" w:cstheme="majorHAnsi"/>
          <w:sz w:val="22"/>
        </w:rPr>
        <w:t>, with a mean of 0.</w:t>
      </w:r>
      <w:r w:rsidR="009906C5" w:rsidRPr="00B7129C">
        <w:rPr>
          <w:rFonts w:asciiTheme="majorHAnsi" w:hAnsiTheme="majorHAnsi" w:cstheme="majorHAnsi"/>
          <w:sz w:val="22"/>
        </w:rPr>
        <w:t>18</w:t>
      </w:r>
      <w:r w:rsidRPr="00B7129C">
        <w:rPr>
          <w:rFonts w:asciiTheme="majorHAnsi" w:hAnsiTheme="majorHAnsi" w:cstheme="majorHAnsi"/>
          <w:sz w:val="22"/>
        </w:rPr>
        <w:t xml:space="preserve"> colonies m</w:t>
      </w:r>
      <w:r w:rsidRPr="00B7129C">
        <w:rPr>
          <w:rFonts w:asciiTheme="majorHAnsi" w:hAnsiTheme="majorHAnsi" w:cstheme="majorHAnsi"/>
          <w:sz w:val="22"/>
          <w:vertAlign w:val="superscript"/>
        </w:rPr>
        <w:t>-2</w:t>
      </w:r>
      <w:r w:rsidRPr="00B7129C">
        <w:rPr>
          <w:rFonts w:asciiTheme="majorHAnsi" w:hAnsiTheme="majorHAnsi" w:cstheme="majorHAnsi"/>
          <w:sz w:val="22"/>
        </w:rPr>
        <w:t xml:space="preserve"> (SD = 0.</w:t>
      </w:r>
      <w:r w:rsidR="005A745B" w:rsidRPr="00B7129C">
        <w:rPr>
          <w:rFonts w:asciiTheme="majorHAnsi" w:hAnsiTheme="majorHAnsi" w:cstheme="majorHAnsi"/>
          <w:sz w:val="22"/>
        </w:rPr>
        <w:t>2</w:t>
      </w:r>
      <w:r w:rsidRPr="00B7129C">
        <w:rPr>
          <w:rFonts w:asciiTheme="majorHAnsi" w:hAnsiTheme="majorHAnsi" w:cstheme="majorHAnsi"/>
          <w:sz w:val="22"/>
        </w:rPr>
        <w:t xml:space="preserve">). </w:t>
      </w:r>
    </w:p>
    <w:p w14:paraId="7990F65E" w14:textId="77777777" w:rsidR="009D0AB7" w:rsidRPr="00B7129C" w:rsidRDefault="009D0AB7" w:rsidP="009D0AB7">
      <w:pPr>
        <w:rPr>
          <w:rFonts w:asciiTheme="majorHAnsi" w:hAnsiTheme="majorHAnsi" w:cstheme="majorHAnsi"/>
          <w:sz w:val="22"/>
        </w:rPr>
      </w:pPr>
    </w:p>
    <w:p w14:paraId="36D52AE8" w14:textId="3AFF7368" w:rsidR="00ED3AC8" w:rsidRPr="00467004" w:rsidRDefault="009D0AB7" w:rsidP="009D0AB7">
      <w:pPr>
        <w:rPr>
          <w:rFonts w:asciiTheme="majorHAnsi" w:hAnsiTheme="majorHAnsi" w:cstheme="majorHAnsi"/>
          <w:sz w:val="22"/>
        </w:rPr>
      </w:pPr>
      <w:r w:rsidRPr="00B7129C">
        <w:rPr>
          <w:rFonts w:asciiTheme="majorHAnsi" w:hAnsiTheme="majorHAnsi" w:cstheme="majorHAnsi"/>
          <w:sz w:val="22"/>
        </w:rPr>
        <w:t>Assessment of GAM fit showed the model performed well with an adjusted R</w:t>
      </w:r>
      <w:r w:rsidRPr="00B7129C">
        <w:rPr>
          <w:rFonts w:asciiTheme="majorHAnsi" w:hAnsiTheme="majorHAnsi" w:cstheme="majorHAnsi"/>
          <w:sz w:val="22"/>
          <w:vertAlign w:val="superscript"/>
        </w:rPr>
        <w:t>2</w:t>
      </w:r>
      <w:r w:rsidRPr="00B7129C">
        <w:rPr>
          <w:rFonts w:asciiTheme="majorHAnsi" w:hAnsiTheme="majorHAnsi" w:cstheme="majorHAnsi"/>
          <w:sz w:val="22"/>
        </w:rPr>
        <w:t xml:space="preserve"> of 0.</w:t>
      </w:r>
      <w:r w:rsidR="005A745B" w:rsidRPr="00B7129C">
        <w:rPr>
          <w:rFonts w:asciiTheme="majorHAnsi" w:hAnsiTheme="majorHAnsi" w:cstheme="majorHAnsi"/>
          <w:sz w:val="22"/>
        </w:rPr>
        <w:t xml:space="preserve">41 </w:t>
      </w:r>
      <w:r w:rsidRPr="006E0D06">
        <w:rPr>
          <w:rFonts w:asciiTheme="majorHAnsi" w:hAnsiTheme="majorHAnsi" w:cstheme="majorHAnsi"/>
          <w:sz w:val="22"/>
        </w:rPr>
        <w:t xml:space="preserve">(Table 1). The average </w:t>
      </w:r>
      <w:r w:rsidR="00637D20" w:rsidRPr="006E0D06">
        <w:rPr>
          <w:rFonts w:asciiTheme="majorHAnsi" w:hAnsiTheme="majorHAnsi" w:cstheme="majorHAnsi"/>
          <w:sz w:val="22"/>
        </w:rPr>
        <w:t xml:space="preserve">updated </w:t>
      </w:r>
      <w:r w:rsidRPr="006E0D06">
        <w:rPr>
          <w:rFonts w:asciiTheme="majorHAnsi" w:hAnsiTheme="majorHAnsi" w:cstheme="majorHAnsi"/>
          <w:sz w:val="22"/>
        </w:rPr>
        <w:t>density threshold is 0.</w:t>
      </w:r>
      <w:r w:rsidR="00637D20" w:rsidRPr="006E0D06">
        <w:rPr>
          <w:rFonts w:asciiTheme="majorHAnsi" w:hAnsiTheme="majorHAnsi" w:cstheme="majorHAnsi"/>
          <w:sz w:val="22"/>
        </w:rPr>
        <w:t>58</w:t>
      </w:r>
      <w:r w:rsidRPr="006E0D06">
        <w:rPr>
          <w:rFonts w:asciiTheme="majorHAnsi" w:hAnsiTheme="majorHAnsi" w:cstheme="majorHAnsi"/>
          <w:sz w:val="22"/>
        </w:rPr>
        <w:t xml:space="preserve"> VME indicator taxa colonies m</w:t>
      </w:r>
      <w:r w:rsidRPr="006E0D06">
        <w:rPr>
          <w:rFonts w:asciiTheme="majorHAnsi" w:hAnsiTheme="majorHAnsi" w:cstheme="majorHAnsi"/>
          <w:sz w:val="22"/>
          <w:vertAlign w:val="superscript"/>
        </w:rPr>
        <w:t>-2</w:t>
      </w:r>
      <w:r w:rsidRPr="006E0D06">
        <w:rPr>
          <w:rFonts w:asciiTheme="majorHAnsi" w:hAnsiTheme="majorHAnsi" w:cstheme="majorHAnsi"/>
          <w:sz w:val="22"/>
        </w:rPr>
        <w:t xml:space="preserve"> (SD = 0.</w:t>
      </w:r>
      <w:r w:rsidR="00024B05" w:rsidRPr="006E0D06">
        <w:rPr>
          <w:rFonts w:asciiTheme="majorHAnsi" w:hAnsiTheme="majorHAnsi" w:cstheme="majorHAnsi"/>
          <w:sz w:val="22"/>
        </w:rPr>
        <w:t>04</w:t>
      </w:r>
      <w:r w:rsidRPr="006E0D06">
        <w:rPr>
          <w:rFonts w:asciiTheme="majorHAnsi" w:hAnsiTheme="majorHAnsi" w:cstheme="majorHAnsi"/>
          <w:sz w:val="22"/>
        </w:rPr>
        <w:t>, lower 95% CI = 0.</w:t>
      </w:r>
      <w:r w:rsidR="004F7F81" w:rsidRPr="006E0D06">
        <w:rPr>
          <w:rFonts w:asciiTheme="majorHAnsi" w:hAnsiTheme="majorHAnsi" w:cstheme="majorHAnsi"/>
          <w:sz w:val="22"/>
        </w:rPr>
        <w:t xml:space="preserve">53 </w:t>
      </w:r>
      <w:r w:rsidRPr="006E0D06">
        <w:rPr>
          <w:rFonts w:asciiTheme="majorHAnsi" w:hAnsiTheme="majorHAnsi" w:cstheme="majorHAnsi"/>
          <w:sz w:val="22"/>
        </w:rPr>
        <w:t>and upper 95% CI = 0.</w:t>
      </w:r>
      <w:r w:rsidR="004F7F81" w:rsidRPr="006E0D06">
        <w:rPr>
          <w:rFonts w:asciiTheme="majorHAnsi" w:hAnsiTheme="majorHAnsi" w:cstheme="majorHAnsi"/>
          <w:sz w:val="22"/>
        </w:rPr>
        <w:t>63</w:t>
      </w:r>
      <w:r w:rsidRPr="006E0D06">
        <w:rPr>
          <w:rFonts w:asciiTheme="majorHAnsi" w:hAnsiTheme="majorHAnsi" w:cstheme="majorHAnsi"/>
          <w:sz w:val="22"/>
        </w:rPr>
        <w:t>) (Table 2).</w:t>
      </w:r>
    </w:p>
    <w:p w14:paraId="7B1D5871" w14:textId="77777777" w:rsidR="009D0AB7" w:rsidRPr="00467004" w:rsidRDefault="009D0AB7" w:rsidP="009D0AB7">
      <w:pPr>
        <w:rPr>
          <w:rFonts w:asciiTheme="majorHAnsi" w:hAnsiTheme="majorHAnsi" w:cstheme="majorHAnsi"/>
          <w:sz w:val="22"/>
        </w:rPr>
      </w:pPr>
    </w:p>
    <w:p w14:paraId="542568BF" w14:textId="77777777" w:rsidR="00C947D2" w:rsidRDefault="00C947D2">
      <w:pPr>
        <w:widowControl/>
        <w:jc w:val="left"/>
        <w:rPr>
          <w:rFonts w:asciiTheme="majorHAnsi" w:hAnsiTheme="majorHAnsi" w:cstheme="majorHAnsi"/>
          <w:i/>
          <w:iCs/>
          <w:sz w:val="22"/>
        </w:rPr>
      </w:pPr>
      <w:r>
        <w:rPr>
          <w:rFonts w:asciiTheme="majorHAnsi" w:hAnsiTheme="majorHAnsi" w:cstheme="majorHAnsi"/>
          <w:i/>
          <w:iCs/>
          <w:sz w:val="22"/>
        </w:rPr>
        <w:br w:type="page"/>
      </w:r>
    </w:p>
    <w:p w14:paraId="62A917FA" w14:textId="6A22CD28" w:rsidR="009D0AB7" w:rsidRDefault="009D0AB7" w:rsidP="009D0AB7">
      <w:pPr>
        <w:rPr>
          <w:rFonts w:asciiTheme="majorHAnsi" w:hAnsiTheme="majorHAnsi" w:cstheme="majorHAnsi"/>
          <w:i/>
          <w:iCs/>
          <w:sz w:val="22"/>
        </w:rPr>
      </w:pPr>
      <w:r w:rsidRPr="00ED39DC">
        <w:rPr>
          <w:rFonts w:asciiTheme="majorHAnsi" w:hAnsiTheme="majorHAnsi" w:cstheme="majorHAnsi"/>
          <w:i/>
          <w:iCs/>
          <w:sz w:val="22"/>
        </w:rPr>
        <w:lastRenderedPageBreak/>
        <w:t>Table 1. Results of GAM used for identifying the VME density threshold in Cobb Seamount visual data. Estimated degrees of freedom (</w:t>
      </w:r>
      <w:proofErr w:type="spellStart"/>
      <w:r w:rsidRPr="00ED39DC">
        <w:rPr>
          <w:rFonts w:asciiTheme="majorHAnsi" w:hAnsiTheme="majorHAnsi" w:cstheme="majorHAnsi"/>
          <w:i/>
          <w:iCs/>
          <w:sz w:val="22"/>
        </w:rPr>
        <w:t>edf</w:t>
      </w:r>
      <w:proofErr w:type="spellEnd"/>
      <w:r w:rsidRPr="00ED39DC">
        <w:rPr>
          <w:rFonts w:asciiTheme="majorHAnsi" w:hAnsiTheme="majorHAnsi" w:cstheme="majorHAnsi"/>
          <w:i/>
          <w:iCs/>
          <w:sz w:val="22"/>
        </w:rPr>
        <w:t xml:space="preserve">), F </w:t>
      </w:r>
      <w:proofErr w:type="gramStart"/>
      <w:r w:rsidRPr="00ED39DC">
        <w:rPr>
          <w:rFonts w:asciiTheme="majorHAnsi" w:hAnsiTheme="majorHAnsi" w:cstheme="majorHAnsi"/>
          <w:i/>
          <w:iCs/>
          <w:sz w:val="22"/>
        </w:rPr>
        <w:t>statistic</w:t>
      </w:r>
      <w:proofErr w:type="gramEnd"/>
      <w:r w:rsidRPr="00ED39DC">
        <w:rPr>
          <w:rFonts w:asciiTheme="majorHAnsi" w:hAnsiTheme="majorHAnsi" w:cstheme="majorHAnsi"/>
          <w:i/>
          <w:iCs/>
          <w:sz w:val="22"/>
        </w:rPr>
        <w:t xml:space="preserve"> and p-value are given for each model term</w:t>
      </w:r>
      <w:r w:rsidRPr="003A3ABD">
        <w:rPr>
          <w:rFonts w:asciiTheme="majorHAnsi" w:hAnsiTheme="majorHAnsi" w:cstheme="majorHAnsi"/>
          <w:i/>
          <w:iCs/>
          <w:sz w:val="22"/>
        </w:rPr>
        <w:t>.</w:t>
      </w:r>
      <w:r w:rsidR="00E87E2C">
        <w:rPr>
          <w:rFonts w:asciiTheme="majorHAnsi" w:hAnsiTheme="majorHAnsi" w:cstheme="majorHAnsi"/>
          <w:i/>
          <w:iCs/>
          <w:sz w:val="22"/>
        </w:rPr>
        <w:t xml:space="preserve"> REML is </w:t>
      </w:r>
      <w:r w:rsidR="00E87E2C" w:rsidRPr="00E87E2C">
        <w:rPr>
          <w:rFonts w:asciiTheme="majorHAnsi" w:hAnsiTheme="majorHAnsi" w:cstheme="majorHAnsi"/>
          <w:i/>
          <w:iCs/>
          <w:sz w:val="22"/>
        </w:rPr>
        <w:t>restricted maximum likelihood</w:t>
      </w:r>
      <w:r w:rsidR="00E87E2C">
        <w:rPr>
          <w:rFonts w:asciiTheme="majorHAnsi" w:hAnsiTheme="majorHAnsi" w:cstheme="majorHAnsi"/>
          <w:i/>
          <w:iCs/>
          <w:sz w:val="22"/>
        </w:rPr>
        <w:t>.</w:t>
      </w:r>
    </w:p>
    <w:p w14:paraId="17210A84" w14:textId="77777777" w:rsidR="00E87E2C" w:rsidRPr="003A3ABD" w:rsidRDefault="00E87E2C" w:rsidP="009D0AB7">
      <w:pPr>
        <w:rPr>
          <w:rFonts w:asciiTheme="majorHAnsi" w:hAnsiTheme="majorHAnsi" w:cstheme="majorHAnsi"/>
          <w:i/>
          <w:iCs/>
          <w:sz w:val="22"/>
        </w:rPr>
      </w:pPr>
    </w:p>
    <w:tbl>
      <w:tblPr>
        <w:tblW w:w="5220" w:type="dxa"/>
        <w:tblCellMar>
          <w:left w:w="0" w:type="dxa"/>
          <w:right w:w="0" w:type="dxa"/>
        </w:tblCellMar>
        <w:tblLook w:val="04A0" w:firstRow="1" w:lastRow="0" w:firstColumn="1" w:lastColumn="0" w:noHBand="0" w:noVBand="1"/>
      </w:tblPr>
      <w:tblGrid>
        <w:gridCol w:w="2160"/>
        <w:gridCol w:w="990"/>
        <w:gridCol w:w="990"/>
        <w:gridCol w:w="1080"/>
      </w:tblGrid>
      <w:tr w:rsidR="00405666" w:rsidRPr="00E67942" w14:paraId="6D6B1243" w14:textId="77777777" w:rsidTr="00E67942">
        <w:tc>
          <w:tcPr>
            <w:tcW w:w="2160" w:type="dxa"/>
            <w:tcBorders>
              <w:top w:val="nil"/>
              <w:left w:val="nil"/>
              <w:bottom w:val="single" w:sz="8" w:space="0" w:color="000000"/>
              <w:right w:val="nil"/>
            </w:tcBorders>
            <w:tcMar>
              <w:top w:w="15" w:type="dxa"/>
              <w:left w:w="108" w:type="dxa"/>
              <w:bottom w:w="0" w:type="dxa"/>
              <w:right w:w="108" w:type="dxa"/>
            </w:tcMar>
            <w:hideMark/>
          </w:tcPr>
          <w:p w14:paraId="737A6959"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b/>
                <w:bCs/>
                <w:sz w:val="20"/>
                <w:szCs w:val="20"/>
                <w:lang w:val="en-CA"/>
              </w:rPr>
              <w:t>Term</w:t>
            </w:r>
          </w:p>
        </w:tc>
        <w:tc>
          <w:tcPr>
            <w:tcW w:w="990" w:type="dxa"/>
            <w:tcBorders>
              <w:top w:val="nil"/>
              <w:left w:val="nil"/>
              <w:bottom w:val="single" w:sz="8" w:space="0" w:color="000000"/>
              <w:right w:val="nil"/>
            </w:tcBorders>
            <w:tcMar>
              <w:top w:w="15" w:type="dxa"/>
              <w:left w:w="108" w:type="dxa"/>
              <w:bottom w:w="0" w:type="dxa"/>
              <w:right w:w="108" w:type="dxa"/>
            </w:tcMar>
            <w:hideMark/>
          </w:tcPr>
          <w:p w14:paraId="3A286DE6" w14:textId="0E606640" w:rsidR="00405666" w:rsidRPr="00E67942" w:rsidRDefault="00743AA1" w:rsidP="00E67942">
            <w:pPr>
              <w:rPr>
                <w:rFonts w:asciiTheme="majorHAnsi" w:hAnsiTheme="majorHAnsi" w:cstheme="majorHAnsi"/>
                <w:sz w:val="20"/>
                <w:szCs w:val="20"/>
              </w:rPr>
            </w:pPr>
            <w:proofErr w:type="spellStart"/>
            <w:r w:rsidRPr="00E67942">
              <w:rPr>
                <w:rFonts w:asciiTheme="majorHAnsi" w:hAnsiTheme="majorHAnsi" w:cstheme="majorHAnsi"/>
                <w:b/>
                <w:bCs/>
                <w:sz w:val="20"/>
                <w:szCs w:val="20"/>
                <w:lang w:val="en-CA"/>
              </w:rPr>
              <w:t>E</w:t>
            </w:r>
            <w:r w:rsidR="00405666" w:rsidRPr="00E67942">
              <w:rPr>
                <w:rFonts w:asciiTheme="majorHAnsi" w:hAnsiTheme="majorHAnsi" w:cstheme="majorHAnsi"/>
                <w:b/>
                <w:bCs/>
                <w:sz w:val="20"/>
                <w:szCs w:val="20"/>
                <w:lang w:val="en-CA"/>
              </w:rPr>
              <w:t>df</w:t>
            </w:r>
            <w:proofErr w:type="spellEnd"/>
          </w:p>
        </w:tc>
        <w:tc>
          <w:tcPr>
            <w:tcW w:w="990" w:type="dxa"/>
            <w:tcBorders>
              <w:top w:val="nil"/>
              <w:left w:val="nil"/>
              <w:bottom w:val="single" w:sz="8" w:space="0" w:color="000000"/>
              <w:right w:val="nil"/>
            </w:tcBorders>
            <w:tcMar>
              <w:top w:w="15" w:type="dxa"/>
              <w:left w:w="108" w:type="dxa"/>
              <w:bottom w:w="0" w:type="dxa"/>
              <w:right w:w="108" w:type="dxa"/>
            </w:tcMar>
            <w:hideMark/>
          </w:tcPr>
          <w:p w14:paraId="3C0CE00E"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b/>
                <w:bCs/>
                <w:sz w:val="20"/>
                <w:szCs w:val="20"/>
                <w:lang w:val="en-CA"/>
              </w:rPr>
              <w:t>F</w:t>
            </w:r>
          </w:p>
        </w:tc>
        <w:tc>
          <w:tcPr>
            <w:tcW w:w="1080" w:type="dxa"/>
            <w:tcBorders>
              <w:top w:val="nil"/>
              <w:left w:val="nil"/>
              <w:bottom w:val="single" w:sz="8" w:space="0" w:color="000000"/>
              <w:right w:val="nil"/>
            </w:tcBorders>
            <w:tcMar>
              <w:top w:w="15" w:type="dxa"/>
              <w:left w:w="108" w:type="dxa"/>
              <w:bottom w:w="0" w:type="dxa"/>
              <w:right w:w="108" w:type="dxa"/>
            </w:tcMar>
            <w:hideMark/>
          </w:tcPr>
          <w:p w14:paraId="54FC4836"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b/>
                <w:bCs/>
                <w:sz w:val="20"/>
                <w:szCs w:val="20"/>
                <w:lang w:val="en-CA"/>
              </w:rPr>
              <w:t>p-value</w:t>
            </w:r>
          </w:p>
        </w:tc>
      </w:tr>
      <w:tr w:rsidR="00405666" w:rsidRPr="00E67942" w14:paraId="32F9FBB6" w14:textId="77777777" w:rsidTr="00E67942">
        <w:tc>
          <w:tcPr>
            <w:tcW w:w="2160" w:type="dxa"/>
            <w:tcBorders>
              <w:top w:val="single" w:sz="8" w:space="0" w:color="000000"/>
              <w:left w:val="nil"/>
              <w:bottom w:val="nil"/>
              <w:right w:val="nil"/>
            </w:tcBorders>
            <w:tcMar>
              <w:top w:w="15" w:type="dxa"/>
              <w:left w:w="108" w:type="dxa"/>
              <w:bottom w:w="0" w:type="dxa"/>
              <w:right w:w="108" w:type="dxa"/>
            </w:tcMar>
            <w:hideMark/>
          </w:tcPr>
          <w:p w14:paraId="3FA87B97"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VME density</w:t>
            </w:r>
          </w:p>
        </w:tc>
        <w:tc>
          <w:tcPr>
            <w:tcW w:w="990" w:type="dxa"/>
            <w:tcBorders>
              <w:top w:val="single" w:sz="8" w:space="0" w:color="000000"/>
              <w:left w:val="nil"/>
              <w:bottom w:val="nil"/>
              <w:right w:val="nil"/>
            </w:tcBorders>
            <w:tcMar>
              <w:top w:w="15" w:type="dxa"/>
              <w:left w:w="108" w:type="dxa"/>
              <w:bottom w:w="0" w:type="dxa"/>
              <w:right w:w="108" w:type="dxa"/>
            </w:tcMar>
            <w:hideMark/>
          </w:tcPr>
          <w:p w14:paraId="3D9A3562"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1.60</w:t>
            </w:r>
          </w:p>
        </w:tc>
        <w:tc>
          <w:tcPr>
            <w:tcW w:w="990" w:type="dxa"/>
            <w:tcBorders>
              <w:top w:val="single" w:sz="8" w:space="0" w:color="000000"/>
              <w:left w:val="nil"/>
              <w:bottom w:val="nil"/>
              <w:right w:val="nil"/>
            </w:tcBorders>
            <w:tcMar>
              <w:top w:w="15" w:type="dxa"/>
              <w:left w:w="108" w:type="dxa"/>
              <w:bottom w:w="0" w:type="dxa"/>
              <w:right w:w="108" w:type="dxa"/>
            </w:tcMar>
            <w:hideMark/>
          </w:tcPr>
          <w:p w14:paraId="5FFECF29"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2.62</w:t>
            </w:r>
          </w:p>
        </w:tc>
        <w:tc>
          <w:tcPr>
            <w:tcW w:w="1080" w:type="dxa"/>
            <w:tcBorders>
              <w:top w:val="single" w:sz="8" w:space="0" w:color="000000"/>
              <w:left w:val="nil"/>
              <w:bottom w:val="nil"/>
              <w:right w:val="nil"/>
            </w:tcBorders>
            <w:tcMar>
              <w:top w:w="15" w:type="dxa"/>
              <w:left w:w="108" w:type="dxa"/>
              <w:bottom w:w="0" w:type="dxa"/>
              <w:right w:w="108" w:type="dxa"/>
            </w:tcMar>
            <w:hideMark/>
          </w:tcPr>
          <w:p w14:paraId="4D5E3A93"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0.066</w:t>
            </w:r>
          </w:p>
        </w:tc>
      </w:tr>
      <w:tr w:rsidR="00405666" w:rsidRPr="00E67942" w14:paraId="24AB35D5" w14:textId="77777777" w:rsidTr="00E67942">
        <w:tc>
          <w:tcPr>
            <w:tcW w:w="2160" w:type="dxa"/>
            <w:tcBorders>
              <w:top w:val="nil"/>
              <w:left w:val="nil"/>
              <w:bottom w:val="nil"/>
              <w:right w:val="nil"/>
            </w:tcBorders>
            <w:tcMar>
              <w:top w:w="15" w:type="dxa"/>
              <w:left w:w="108" w:type="dxa"/>
              <w:bottom w:w="0" w:type="dxa"/>
              <w:right w:w="108" w:type="dxa"/>
            </w:tcMar>
            <w:hideMark/>
          </w:tcPr>
          <w:p w14:paraId="3B3A3495"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Depth</w:t>
            </w:r>
          </w:p>
        </w:tc>
        <w:tc>
          <w:tcPr>
            <w:tcW w:w="990" w:type="dxa"/>
            <w:tcBorders>
              <w:top w:val="nil"/>
              <w:left w:val="nil"/>
              <w:bottom w:val="nil"/>
              <w:right w:val="nil"/>
            </w:tcBorders>
            <w:tcMar>
              <w:top w:w="15" w:type="dxa"/>
              <w:left w:w="108" w:type="dxa"/>
              <w:bottom w:w="0" w:type="dxa"/>
              <w:right w:w="108" w:type="dxa"/>
            </w:tcMar>
            <w:hideMark/>
          </w:tcPr>
          <w:p w14:paraId="43000C33"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4.78</w:t>
            </w:r>
          </w:p>
        </w:tc>
        <w:tc>
          <w:tcPr>
            <w:tcW w:w="990" w:type="dxa"/>
            <w:tcBorders>
              <w:top w:val="nil"/>
              <w:left w:val="nil"/>
              <w:bottom w:val="nil"/>
              <w:right w:val="nil"/>
            </w:tcBorders>
            <w:tcMar>
              <w:top w:w="15" w:type="dxa"/>
              <w:left w:w="108" w:type="dxa"/>
              <w:bottom w:w="0" w:type="dxa"/>
              <w:right w:w="108" w:type="dxa"/>
            </w:tcMar>
            <w:hideMark/>
          </w:tcPr>
          <w:p w14:paraId="73E0D2B9"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11.92</w:t>
            </w:r>
          </w:p>
        </w:tc>
        <w:tc>
          <w:tcPr>
            <w:tcW w:w="1080" w:type="dxa"/>
            <w:tcBorders>
              <w:top w:val="nil"/>
              <w:left w:val="nil"/>
              <w:bottom w:val="nil"/>
              <w:right w:val="nil"/>
            </w:tcBorders>
            <w:tcMar>
              <w:top w:w="15" w:type="dxa"/>
              <w:left w:w="108" w:type="dxa"/>
              <w:bottom w:w="0" w:type="dxa"/>
              <w:right w:w="108" w:type="dxa"/>
            </w:tcMar>
            <w:hideMark/>
          </w:tcPr>
          <w:p w14:paraId="1300E704"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&lt;0.001</w:t>
            </w:r>
          </w:p>
        </w:tc>
      </w:tr>
      <w:tr w:rsidR="00405666" w:rsidRPr="00E67942" w14:paraId="138632F7" w14:textId="77777777" w:rsidTr="00E67942">
        <w:tc>
          <w:tcPr>
            <w:tcW w:w="2160" w:type="dxa"/>
            <w:tcBorders>
              <w:top w:val="nil"/>
              <w:left w:val="nil"/>
              <w:bottom w:val="double" w:sz="4" w:space="0" w:color="000000"/>
              <w:right w:val="nil"/>
            </w:tcBorders>
            <w:tcMar>
              <w:top w:w="15" w:type="dxa"/>
              <w:left w:w="108" w:type="dxa"/>
              <w:bottom w:w="0" w:type="dxa"/>
              <w:right w:w="108" w:type="dxa"/>
            </w:tcMar>
            <w:hideMark/>
          </w:tcPr>
          <w:p w14:paraId="573CFAC1"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Transect</w:t>
            </w:r>
          </w:p>
        </w:tc>
        <w:tc>
          <w:tcPr>
            <w:tcW w:w="990" w:type="dxa"/>
            <w:tcBorders>
              <w:top w:val="nil"/>
              <w:left w:val="nil"/>
              <w:bottom w:val="double" w:sz="4" w:space="0" w:color="000000"/>
              <w:right w:val="nil"/>
            </w:tcBorders>
            <w:tcMar>
              <w:top w:w="15" w:type="dxa"/>
              <w:left w:w="108" w:type="dxa"/>
              <w:bottom w:w="0" w:type="dxa"/>
              <w:right w:w="108" w:type="dxa"/>
            </w:tcMar>
            <w:hideMark/>
          </w:tcPr>
          <w:p w14:paraId="596C97CD"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2.67</w:t>
            </w:r>
          </w:p>
        </w:tc>
        <w:tc>
          <w:tcPr>
            <w:tcW w:w="990" w:type="dxa"/>
            <w:tcBorders>
              <w:top w:val="nil"/>
              <w:left w:val="nil"/>
              <w:bottom w:val="double" w:sz="4" w:space="0" w:color="000000"/>
              <w:right w:val="nil"/>
            </w:tcBorders>
            <w:tcMar>
              <w:top w:w="15" w:type="dxa"/>
              <w:left w:w="108" w:type="dxa"/>
              <w:bottom w:w="0" w:type="dxa"/>
              <w:right w:w="108" w:type="dxa"/>
            </w:tcMar>
            <w:hideMark/>
          </w:tcPr>
          <w:p w14:paraId="36087D92"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7.21</w:t>
            </w:r>
          </w:p>
        </w:tc>
        <w:tc>
          <w:tcPr>
            <w:tcW w:w="1080" w:type="dxa"/>
            <w:tcBorders>
              <w:top w:val="nil"/>
              <w:left w:val="nil"/>
              <w:bottom w:val="double" w:sz="4" w:space="0" w:color="000000"/>
              <w:right w:val="nil"/>
            </w:tcBorders>
            <w:tcMar>
              <w:top w:w="15" w:type="dxa"/>
              <w:left w:w="108" w:type="dxa"/>
              <w:bottom w:w="0" w:type="dxa"/>
              <w:right w:w="108" w:type="dxa"/>
            </w:tcMar>
            <w:hideMark/>
          </w:tcPr>
          <w:p w14:paraId="7EC62BAB"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&lt;0.001</w:t>
            </w:r>
          </w:p>
        </w:tc>
      </w:tr>
      <w:tr w:rsidR="00405666" w:rsidRPr="00E67942" w14:paraId="07E81806" w14:textId="77777777" w:rsidTr="00E67942">
        <w:tc>
          <w:tcPr>
            <w:tcW w:w="2160" w:type="dxa"/>
            <w:tcBorders>
              <w:top w:val="double" w:sz="4" w:space="0" w:color="000000"/>
              <w:left w:val="nil"/>
              <w:bottom w:val="nil"/>
              <w:right w:val="nil"/>
            </w:tcBorders>
            <w:tcMar>
              <w:top w:w="15" w:type="dxa"/>
              <w:left w:w="108" w:type="dxa"/>
              <w:bottom w:w="0" w:type="dxa"/>
              <w:right w:w="108" w:type="dxa"/>
            </w:tcMar>
            <w:hideMark/>
          </w:tcPr>
          <w:p w14:paraId="1E5DDA51"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Adjusted R</w:t>
            </w:r>
            <w:r w:rsidRPr="00E67942">
              <w:rPr>
                <w:rFonts w:asciiTheme="majorHAnsi" w:hAnsiTheme="majorHAnsi" w:cstheme="majorHAnsi"/>
                <w:sz w:val="20"/>
                <w:szCs w:val="20"/>
                <w:vertAlign w:val="superscript"/>
                <w:lang w:val="en-CA"/>
              </w:rPr>
              <w:t>2</w:t>
            </w:r>
          </w:p>
        </w:tc>
        <w:tc>
          <w:tcPr>
            <w:tcW w:w="990" w:type="dxa"/>
            <w:tcBorders>
              <w:top w:val="double" w:sz="4" w:space="0" w:color="000000"/>
              <w:left w:val="nil"/>
              <w:bottom w:val="nil"/>
              <w:right w:val="nil"/>
            </w:tcBorders>
            <w:tcMar>
              <w:top w:w="15" w:type="dxa"/>
              <w:left w:w="108" w:type="dxa"/>
              <w:bottom w:w="0" w:type="dxa"/>
              <w:right w:w="108" w:type="dxa"/>
            </w:tcMar>
            <w:hideMark/>
          </w:tcPr>
          <w:p w14:paraId="118D0BD4" w14:textId="75B8BA11"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0.</w:t>
            </w:r>
            <w:r w:rsidR="000070D0" w:rsidRPr="00E67942">
              <w:rPr>
                <w:rFonts w:asciiTheme="majorHAnsi" w:hAnsiTheme="majorHAnsi" w:cstheme="majorHAnsi"/>
                <w:sz w:val="20"/>
                <w:szCs w:val="20"/>
                <w:lang w:val="en-CA"/>
              </w:rPr>
              <w:t>4</w:t>
            </w:r>
            <w:r w:rsidR="000070D0">
              <w:rPr>
                <w:rFonts w:asciiTheme="majorHAnsi" w:hAnsiTheme="majorHAnsi" w:cstheme="majorHAnsi"/>
                <w:sz w:val="20"/>
                <w:szCs w:val="20"/>
                <w:lang w:val="en-CA"/>
              </w:rPr>
              <w:t>1</w:t>
            </w:r>
          </w:p>
        </w:tc>
        <w:tc>
          <w:tcPr>
            <w:tcW w:w="990" w:type="dxa"/>
            <w:tcBorders>
              <w:top w:val="double" w:sz="4" w:space="0" w:color="000000"/>
              <w:left w:val="nil"/>
              <w:bottom w:val="nil"/>
              <w:right w:val="nil"/>
            </w:tcBorders>
            <w:tcMar>
              <w:top w:w="15" w:type="dxa"/>
              <w:left w:w="108" w:type="dxa"/>
              <w:bottom w:w="0" w:type="dxa"/>
              <w:right w:w="108" w:type="dxa"/>
            </w:tcMar>
            <w:hideMark/>
          </w:tcPr>
          <w:p w14:paraId="6B0B728B"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 </w:t>
            </w:r>
          </w:p>
        </w:tc>
        <w:tc>
          <w:tcPr>
            <w:tcW w:w="1080" w:type="dxa"/>
            <w:tcBorders>
              <w:top w:val="double" w:sz="4" w:space="0" w:color="000000"/>
              <w:left w:val="nil"/>
              <w:bottom w:val="nil"/>
              <w:right w:val="nil"/>
            </w:tcBorders>
            <w:tcMar>
              <w:top w:w="15" w:type="dxa"/>
              <w:left w:w="108" w:type="dxa"/>
              <w:bottom w:w="0" w:type="dxa"/>
              <w:right w:w="108" w:type="dxa"/>
            </w:tcMar>
            <w:hideMark/>
          </w:tcPr>
          <w:p w14:paraId="313636FB"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 </w:t>
            </w:r>
          </w:p>
        </w:tc>
      </w:tr>
      <w:tr w:rsidR="00405666" w:rsidRPr="00E67942" w14:paraId="2CFF91A8" w14:textId="77777777" w:rsidTr="00E67942">
        <w:tc>
          <w:tcPr>
            <w:tcW w:w="2160" w:type="dxa"/>
            <w:tcBorders>
              <w:top w:val="nil"/>
              <w:left w:val="nil"/>
              <w:bottom w:val="nil"/>
              <w:right w:val="nil"/>
            </w:tcBorders>
            <w:tcMar>
              <w:top w:w="15" w:type="dxa"/>
              <w:left w:w="108" w:type="dxa"/>
              <w:bottom w:w="0" w:type="dxa"/>
              <w:right w:w="108" w:type="dxa"/>
            </w:tcMar>
            <w:hideMark/>
          </w:tcPr>
          <w:p w14:paraId="6DEE53AD"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Deviance explained</w:t>
            </w:r>
          </w:p>
        </w:tc>
        <w:tc>
          <w:tcPr>
            <w:tcW w:w="990" w:type="dxa"/>
            <w:tcBorders>
              <w:top w:val="nil"/>
              <w:left w:val="nil"/>
              <w:bottom w:val="nil"/>
              <w:right w:val="nil"/>
            </w:tcBorders>
            <w:tcMar>
              <w:top w:w="15" w:type="dxa"/>
              <w:left w:w="108" w:type="dxa"/>
              <w:bottom w:w="0" w:type="dxa"/>
              <w:right w:w="108" w:type="dxa"/>
            </w:tcMar>
            <w:hideMark/>
          </w:tcPr>
          <w:p w14:paraId="6B0D0836"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43.1 %</w:t>
            </w:r>
          </w:p>
        </w:tc>
        <w:tc>
          <w:tcPr>
            <w:tcW w:w="990" w:type="dxa"/>
            <w:tcBorders>
              <w:top w:val="nil"/>
              <w:left w:val="nil"/>
              <w:bottom w:val="nil"/>
              <w:right w:val="nil"/>
            </w:tcBorders>
            <w:tcMar>
              <w:top w:w="15" w:type="dxa"/>
              <w:left w:w="108" w:type="dxa"/>
              <w:bottom w:w="0" w:type="dxa"/>
              <w:right w:w="108" w:type="dxa"/>
            </w:tcMar>
            <w:hideMark/>
          </w:tcPr>
          <w:p w14:paraId="6E00DCE7"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 </w:t>
            </w:r>
          </w:p>
        </w:tc>
        <w:tc>
          <w:tcPr>
            <w:tcW w:w="1080" w:type="dxa"/>
            <w:tcBorders>
              <w:top w:val="nil"/>
              <w:left w:val="nil"/>
              <w:bottom w:val="nil"/>
              <w:right w:val="nil"/>
            </w:tcBorders>
            <w:tcMar>
              <w:top w:w="15" w:type="dxa"/>
              <w:left w:w="108" w:type="dxa"/>
              <w:bottom w:w="0" w:type="dxa"/>
              <w:right w:w="108" w:type="dxa"/>
            </w:tcMar>
            <w:hideMark/>
          </w:tcPr>
          <w:p w14:paraId="3227694E"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 </w:t>
            </w:r>
          </w:p>
        </w:tc>
      </w:tr>
      <w:tr w:rsidR="00405666" w:rsidRPr="00E67942" w14:paraId="5AE93487" w14:textId="77777777" w:rsidTr="00E67942">
        <w:tc>
          <w:tcPr>
            <w:tcW w:w="2160" w:type="dxa"/>
            <w:tcBorders>
              <w:top w:val="nil"/>
              <w:left w:val="nil"/>
              <w:bottom w:val="nil"/>
              <w:right w:val="nil"/>
            </w:tcBorders>
            <w:tcMar>
              <w:top w:w="15" w:type="dxa"/>
              <w:left w:w="108" w:type="dxa"/>
              <w:bottom w:w="0" w:type="dxa"/>
              <w:right w:w="108" w:type="dxa"/>
            </w:tcMar>
            <w:hideMark/>
          </w:tcPr>
          <w:p w14:paraId="638395F9"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AIC</w:t>
            </w:r>
          </w:p>
        </w:tc>
        <w:tc>
          <w:tcPr>
            <w:tcW w:w="990" w:type="dxa"/>
            <w:tcBorders>
              <w:top w:val="nil"/>
              <w:left w:val="nil"/>
              <w:bottom w:val="nil"/>
              <w:right w:val="nil"/>
            </w:tcBorders>
            <w:tcMar>
              <w:top w:w="15" w:type="dxa"/>
              <w:left w:w="108" w:type="dxa"/>
              <w:bottom w:w="0" w:type="dxa"/>
              <w:right w:w="108" w:type="dxa"/>
            </w:tcMar>
            <w:hideMark/>
          </w:tcPr>
          <w:p w14:paraId="4A1D5749"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875.93</w:t>
            </w:r>
          </w:p>
        </w:tc>
        <w:tc>
          <w:tcPr>
            <w:tcW w:w="990" w:type="dxa"/>
            <w:tcBorders>
              <w:top w:val="nil"/>
              <w:left w:val="nil"/>
              <w:bottom w:val="nil"/>
              <w:right w:val="nil"/>
            </w:tcBorders>
            <w:tcMar>
              <w:top w:w="15" w:type="dxa"/>
              <w:left w:w="108" w:type="dxa"/>
              <w:bottom w:w="0" w:type="dxa"/>
              <w:right w:w="108" w:type="dxa"/>
            </w:tcMar>
            <w:hideMark/>
          </w:tcPr>
          <w:p w14:paraId="62AA5F96"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 </w:t>
            </w:r>
          </w:p>
        </w:tc>
        <w:tc>
          <w:tcPr>
            <w:tcW w:w="1080" w:type="dxa"/>
            <w:tcBorders>
              <w:top w:val="nil"/>
              <w:left w:val="nil"/>
              <w:bottom w:val="nil"/>
              <w:right w:val="nil"/>
            </w:tcBorders>
            <w:tcMar>
              <w:top w:w="15" w:type="dxa"/>
              <w:left w:w="108" w:type="dxa"/>
              <w:bottom w:w="0" w:type="dxa"/>
              <w:right w:w="108" w:type="dxa"/>
            </w:tcMar>
            <w:hideMark/>
          </w:tcPr>
          <w:p w14:paraId="3D21F60D"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lang w:val="en-CA"/>
              </w:rPr>
              <w:t> </w:t>
            </w:r>
          </w:p>
        </w:tc>
      </w:tr>
      <w:tr w:rsidR="00405666" w:rsidRPr="00E67942" w14:paraId="5D7ADEDF" w14:textId="77777777" w:rsidTr="00E67942">
        <w:tc>
          <w:tcPr>
            <w:tcW w:w="2160" w:type="dxa"/>
            <w:tcBorders>
              <w:top w:val="nil"/>
              <w:left w:val="nil"/>
              <w:bottom w:val="nil"/>
              <w:right w:val="nil"/>
            </w:tcBorders>
            <w:tcMar>
              <w:top w:w="15" w:type="dxa"/>
              <w:left w:w="108" w:type="dxa"/>
              <w:bottom w:w="0" w:type="dxa"/>
              <w:right w:w="108" w:type="dxa"/>
            </w:tcMar>
            <w:hideMark/>
          </w:tcPr>
          <w:p w14:paraId="3F90F6C9"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rPr>
              <w:t>REML</w:t>
            </w:r>
          </w:p>
        </w:tc>
        <w:tc>
          <w:tcPr>
            <w:tcW w:w="990" w:type="dxa"/>
            <w:tcBorders>
              <w:top w:val="nil"/>
              <w:left w:val="nil"/>
              <w:bottom w:val="nil"/>
              <w:right w:val="nil"/>
            </w:tcBorders>
            <w:tcMar>
              <w:top w:w="15" w:type="dxa"/>
              <w:left w:w="108" w:type="dxa"/>
              <w:bottom w:w="0" w:type="dxa"/>
              <w:right w:w="108" w:type="dxa"/>
            </w:tcMar>
            <w:hideMark/>
          </w:tcPr>
          <w:p w14:paraId="37584B65" w14:textId="77777777" w:rsidR="00405666" w:rsidRPr="00E67942" w:rsidRDefault="00405666" w:rsidP="00E67942">
            <w:pPr>
              <w:rPr>
                <w:rFonts w:asciiTheme="majorHAnsi" w:hAnsiTheme="majorHAnsi" w:cstheme="majorHAnsi"/>
                <w:sz w:val="20"/>
                <w:szCs w:val="20"/>
              </w:rPr>
            </w:pPr>
            <w:r w:rsidRPr="00E67942">
              <w:rPr>
                <w:rFonts w:asciiTheme="majorHAnsi" w:hAnsiTheme="majorHAnsi" w:cstheme="majorHAnsi"/>
                <w:sz w:val="20"/>
                <w:szCs w:val="20"/>
              </w:rPr>
              <w:t>441.17</w:t>
            </w:r>
          </w:p>
        </w:tc>
        <w:tc>
          <w:tcPr>
            <w:tcW w:w="990" w:type="dxa"/>
            <w:tcBorders>
              <w:top w:val="nil"/>
              <w:left w:val="nil"/>
              <w:bottom w:val="nil"/>
              <w:right w:val="nil"/>
            </w:tcBorders>
            <w:tcMar>
              <w:top w:w="15" w:type="dxa"/>
              <w:left w:w="108" w:type="dxa"/>
              <w:bottom w:w="0" w:type="dxa"/>
              <w:right w:w="108" w:type="dxa"/>
            </w:tcMar>
            <w:hideMark/>
          </w:tcPr>
          <w:p w14:paraId="51513B61" w14:textId="77777777" w:rsidR="00405666" w:rsidRPr="00E67942" w:rsidRDefault="00405666" w:rsidP="00E67942">
            <w:pPr>
              <w:rPr>
                <w:rFonts w:asciiTheme="majorHAnsi" w:hAnsiTheme="majorHAnsi" w:cstheme="majorHAnsi"/>
                <w:sz w:val="20"/>
                <w:szCs w:val="20"/>
              </w:rPr>
            </w:pPr>
          </w:p>
        </w:tc>
        <w:tc>
          <w:tcPr>
            <w:tcW w:w="1080" w:type="dxa"/>
            <w:tcBorders>
              <w:top w:val="nil"/>
              <w:left w:val="nil"/>
              <w:bottom w:val="nil"/>
              <w:right w:val="nil"/>
            </w:tcBorders>
            <w:tcMar>
              <w:top w:w="15" w:type="dxa"/>
              <w:left w:w="108" w:type="dxa"/>
              <w:bottom w:w="0" w:type="dxa"/>
              <w:right w:w="108" w:type="dxa"/>
            </w:tcMar>
            <w:hideMark/>
          </w:tcPr>
          <w:p w14:paraId="345FE256" w14:textId="77777777" w:rsidR="00405666" w:rsidRPr="00E67942" w:rsidRDefault="00405666" w:rsidP="00E67942">
            <w:pPr>
              <w:rPr>
                <w:rFonts w:asciiTheme="majorHAnsi" w:hAnsiTheme="majorHAnsi" w:cstheme="majorHAnsi"/>
                <w:sz w:val="20"/>
                <w:szCs w:val="20"/>
              </w:rPr>
            </w:pPr>
          </w:p>
        </w:tc>
      </w:tr>
    </w:tbl>
    <w:p w14:paraId="1888CB74" w14:textId="77777777" w:rsidR="001761C1" w:rsidRPr="00467004" w:rsidRDefault="001761C1" w:rsidP="009D0AB7">
      <w:pPr>
        <w:rPr>
          <w:rFonts w:asciiTheme="majorHAnsi" w:hAnsiTheme="majorHAnsi" w:cstheme="majorHAnsi"/>
          <w:i/>
          <w:iCs/>
          <w:sz w:val="22"/>
          <w:highlight w:val="yellow"/>
        </w:rPr>
      </w:pPr>
    </w:p>
    <w:p w14:paraId="661863B9" w14:textId="5EA49F36" w:rsidR="00405666" w:rsidRPr="001E0853" w:rsidRDefault="001761C1" w:rsidP="009D0AB7">
      <w:pPr>
        <w:rPr>
          <w:rFonts w:asciiTheme="majorHAnsi" w:hAnsiTheme="majorHAnsi" w:cstheme="majorHAnsi"/>
          <w:i/>
          <w:iCs/>
          <w:sz w:val="22"/>
        </w:rPr>
      </w:pPr>
      <w:r w:rsidRPr="001E0853">
        <w:rPr>
          <w:rFonts w:asciiTheme="majorHAnsi" w:hAnsiTheme="majorHAnsi" w:cstheme="majorHAnsi"/>
          <w:i/>
          <w:iCs/>
          <w:sz w:val="22"/>
        </w:rPr>
        <w:t>Table 2. VME indicator taxa density threshold results in VME indicator taxa colonies m</w:t>
      </w:r>
      <w:r w:rsidRPr="001E0853">
        <w:rPr>
          <w:rFonts w:asciiTheme="majorHAnsi" w:hAnsiTheme="majorHAnsi" w:cstheme="majorHAnsi"/>
          <w:i/>
          <w:iCs/>
          <w:sz w:val="22"/>
          <w:vertAlign w:val="superscript"/>
        </w:rPr>
        <w:t>-2</w:t>
      </w:r>
      <w:r w:rsidRPr="001E0853">
        <w:rPr>
          <w:rFonts w:asciiTheme="majorHAnsi" w:hAnsiTheme="majorHAnsi" w:cstheme="majorHAnsi"/>
          <w:i/>
          <w:iCs/>
          <w:sz w:val="22"/>
        </w:rPr>
        <w:t xml:space="preserve"> with reported average and standard deviation.</w:t>
      </w:r>
    </w:p>
    <w:tbl>
      <w:tblPr>
        <w:tblW w:w="0" w:type="auto"/>
        <w:tblInd w:w="-168" w:type="dxa"/>
        <w:tblLayout w:type="fixed"/>
        <w:tblLook w:val="0000" w:firstRow="0" w:lastRow="0" w:firstColumn="0" w:lastColumn="0" w:noHBand="0" w:noVBand="0"/>
      </w:tblPr>
      <w:tblGrid>
        <w:gridCol w:w="1458"/>
        <w:gridCol w:w="1890"/>
      </w:tblGrid>
      <w:tr w:rsidR="00D62070" w:rsidRPr="00D62070" w14:paraId="52F924B6" w14:textId="77777777" w:rsidTr="00E67942">
        <w:trPr>
          <w:trHeight w:val="244"/>
        </w:trPr>
        <w:tc>
          <w:tcPr>
            <w:tcW w:w="1458" w:type="dxa"/>
            <w:tcBorders>
              <w:bottom w:val="single" w:sz="4" w:space="0" w:color="auto"/>
            </w:tcBorders>
          </w:tcPr>
          <w:p w14:paraId="32A2BDC0" w14:textId="77777777" w:rsidR="00D62070" w:rsidRPr="00C872B3" w:rsidRDefault="00D62070" w:rsidP="00E67942">
            <w:pPr>
              <w:jc w:val="center"/>
              <w:rPr>
                <w:rFonts w:asciiTheme="majorHAnsi" w:hAnsiTheme="majorHAnsi" w:cstheme="majorHAnsi"/>
                <w:sz w:val="20"/>
                <w:szCs w:val="18"/>
              </w:rPr>
            </w:pPr>
            <w:r w:rsidRPr="00C872B3">
              <w:rPr>
                <w:rFonts w:asciiTheme="majorHAnsi" w:hAnsiTheme="majorHAnsi" w:cstheme="majorHAnsi"/>
                <w:sz w:val="20"/>
                <w:szCs w:val="18"/>
              </w:rPr>
              <w:t>Threshold Methods</w:t>
            </w:r>
          </w:p>
        </w:tc>
        <w:tc>
          <w:tcPr>
            <w:tcW w:w="1890" w:type="dxa"/>
            <w:tcBorders>
              <w:bottom w:val="single" w:sz="4" w:space="0" w:color="auto"/>
            </w:tcBorders>
          </w:tcPr>
          <w:p w14:paraId="2856418C" w14:textId="77777777" w:rsidR="00D62070" w:rsidRPr="00C872B3" w:rsidRDefault="00D62070" w:rsidP="00E67942">
            <w:pPr>
              <w:jc w:val="center"/>
              <w:rPr>
                <w:rFonts w:asciiTheme="majorHAnsi" w:hAnsiTheme="majorHAnsi" w:cstheme="majorHAnsi"/>
                <w:sz w:val="20"/>
                <w:szCs w:val="18"/>
              </w:rPr>
            </w:pPr>
            <w:r w:rsidRPr="00C872B3">
              <w:rPr>
                <w:rFonts w:asciiTheme="majorHAnsi" w:hAnsiTheme="majorHAnsi" w:cstheme="majorHAnsi"/>
                <w:sz w:val="20"/>
                <w:szCs w:val="18"/>
              </w:rPr>
              <w:t>Threshold</w:t>
            </w:r>
          </w:p>
          <w:p w14:paraId="101D66B0" w14:textId="77777777" w:rsidR="00D62070" w:rsidRPr="00C872B3" w:rsidRDefault="00D62070" w:rsidP="00E67942">
            <w:pPr>
              <w:jc w:val="center"/>
              <w:rPr>
                <w:rFonts w:asciiTheme="majorHAnsi" w:hAnsiTheme="majorHAnsi" w:cstheme="majorHAnsi"/>
                <w:sz w:val="20"/>
                <w:szCs w:val="18"/>
              </w:rPr>
            </w:pPr>
            <w:r w:rsidRPr="00C872B3">
              <w:rPr>
                <w:rFonts w:asciiTheme="majorHAnsi" w:hAnsiTheme="majorHAnsi" w:cstheme="majorHAnsi"/>
                <w:sz w:val="20"/>
                <w:szCs w:val="18"/>
              </w:rPr>
              <w:t>Results</w:t>
            </w:r>
          </w:p>
        </w:tc>
      </w:tr>
      <w:tr w:rsidR="00D62070" w:rsidRPr="00D62070" w14:paraId="2AA17B98" w14:textId="77777777" w:rsidTr="00E67942">
        <w:trPr>
          <w:trHeight w:val="110"/>
        </w:trPr>
        <w:tc>
          <w:tcPr>
            <w:tcW w:w="1458" w:type="dxa"/>
            <w:tcBorders>
              <w:top w:val="single" w:sz="4" w:space="0" w:color="auto"/>
            </w:tcBorders>
          </w:tcPr>
          <w:p w14:paraId="3B022B7D" w14:textId="77777777" w:rsidR="00D62070" w:rsidRPr="00C872B3" w:rsidRDefault="00D62070" w:rsidP="00E67942">
            <w:pPr>
              <w:jc w:val="center"/>
              <w:rPr>
                <w:rFonts w:asciiTheme="majorHAnsi" w:hAnsiTheme="majorHAnsi" w:cstheme="majorHAnsi"/>
                <w:sz w:val="20"/>
                <w:szCs w:val="18"/>
              </w:rPr>
            </w:pPr>
            <w:r w:rsidRPr="00C872B3">
              <w:rPr>
                <w:rFonts w:asciiTheme="majorHAnsi" w:hAnsiTheme="majorHAnsi" w:cstheme="majorHAnsi"/>
                <w:sz w:val="20"/>
                <w:szCs w:val="18"/>
              </w:rPr>
              <w:t>1</w:t>
            </w:r>
          </w:p>
        </w:tc>
        <w:tc>
          <w:tcPr>
            <w:tcW w:w="1890" w:type="dxa"/>
            <w:tcBorders>
              <w:top w:val="single" w:sz="4" w:space="0" w:color="auto"/>
            </w:tcBorders>
          </w:tcPr>
          <w:p w14:paraId="5D4B3E4A" w14:textId="77777777" w:rsidR="00D62070" w:rsidRPr="00C872B3" w:rsidRDefault="00D62070" w:rsidP="00E67942">
            <w:pPr>
              <w:jc w:val="center"/>
              <w:rPr>
                <w:rFonts w:asciiTheme="majorHAnsi" w:hAnsiTheme="majorHAnsi" w:cstheme="majorHAnsi"/>
                <w:sz w:val="20"/>
                <w:szCs w:val="18"/>
              </w:rPr>
            </w:pPr>
            <w:r w:rsidRPr="00C872B3">
              <w:rPr>
                <w:rFonts w:asciiTheme="majorHAnsi" w:hAnsiTheme="majorHAnsi" w:cstheme="majorHAnsi"/>
                <w:sz w:val="20"/>
                <w:szCs w:val="18"/>
              </w:rPr>
              <w:t>0.56</w:t>
            </w:r>
          </w:p>
        </w:tc>
      </w:tr>
      <w:tr w:rsidR="00D62070" w:rsidRPr="00D62070" w14:paraId="2CF07265" w14:textId="77777777" w:rsidTr="00E67942">
        <w:trPr>
          <w:trHeight w:val="110"/>
        </w:trPr>
        <w:tc>
          <w:tcPr>
            <w:tcW w:w="1458" w:type="dxa"/>
          </w:tcPr>
          <w:p w14:paraId="100F407A" w14:textId="77777777" w:rsidR="00D62070" w:rsidRPr="00C872B3" w:rsidRDefault="00D62070" w:rsidP="00E67942">
            <w:pPr>
              <w:jc w:val="center"/>
              <w:rPr>
                <w:rFonts w:asciiTheme="majorHAnsi" w:hAnsiTheme="majorHAnsi" w:cstheme="majorHAnsi"/>
                <w:sz w:val="20"/>
                <w:szCs w:val="18"/>
              </w:rPr>
            </w:pPr>
            <w:r w:rsidRPr="00C872B3">
              <w:rPr>
                <w:rFonts w:asciiTheme="majorHAnsi" w:hAnsiTheme="majorHAnsi" w:cstheme="majorHAnsi"/>
                <w:sz w:val="20"/>
                <w:szCs w:val="18"/>
              </w:rPr>
              <w:t>2</w:t>
            </w:r>
          </w:p>
        </w:tc>
        <w:tc>
          <w:tcPr>
            <w:tcW w:w="1890" w:type="dxa"/>
          </w:tcPr>
          <w:p w14:paraId="34293C06" w14:textId="77777777" w:rsidR="00D62070" w:rsidRPr="00C872B3" w:rsidRDefault="00D62070" w:rsidP="00E67942">
            <w:pPr>
              <w:jc w:val="center"/>
              <w:rPr>
                <w:rFonts w:asciiTheme="majorHAnsi" w:hAnsiTheme="majorHAnsi" w:cstheme="majorHAnsi"/>
                <w:sz w:val="20"/>
                <w:szCs w:val="18"/>
              </w:rPr>
            </w:pPr>
            <w:r w:rsidRPr="00C872B3">
              <w:rPr>
                <w:rFonts w:asciiTheme="majorHAnsi" w:hAnsiTheme="majorHAnsi" w:cstheme="majorHAnsi"/>
                <w:sz w:val="20"/>
                <w:szCs w:val="18"/>
              </w:rPr>
              <w:t>0.65</w:t>
            </w:r>
          </w:p>
        </w:tc>
      </w:tr>
      <w:tr w:rsidR="00D62070" w:rsidRPr="00D62070" w14:paraId="606FBA5A" w14:textId="77777777" w:rsidTr="00E67942">
        <w:trPr>
          <w:trHeight w:val="110"/>
        </w:trPr>
        <w:tc>
          <w:tcPr>
            <w:tcW w:w="1458" w:type="dxa"/>
          </w:tcPr>
          <w:p w14:paraId="1F6159B8" w14:textId="77777777" w:rsidR="00D62070" w:rsidRPr="00C872B3" w:rsidRDefault="00D62070" w:rsidP="00E67942">
            <w:pPr>
              <w:jc w:val="center"/>
              <w:rPr>
                <w:rFonts w:asciiTheme="majorHAnsi" w:hAnsiTheme="majorHAnsi" w:cstheme="majorHAnsi"/>
                <w:sz w:val="20"/>
                <w:szCs w:val="18"/>
              </w:rPr>
            </w:pPr>
            <w:r w:rsidRPr="00C872B3">
              <w:rPr>
                <w:rFonts w:asciiTheme="majorHAnsi" w:hAnsiTheme="majorHAnsi" w:cstheme="majorHAnsi"/>
                <w:sz w:val="20"/>
                <w:szCs w:val="18"/>
              </w:rPr>
              <w:t>3</w:t>
            </w:r>
          </w:p>
        </w:tc>
        <w:tc>
          <w:tcPr>
            <w:tcW w:w="1890" w:type="dxa"/>
          </w:tcPr>
          <w:p w14:paraId="74BBB731" w14:textId="77777777" w:rsidR="00D62070" w:rsidRPr="00C872B3" w:rsidRDefault="00D62070" w:rsidP="00E67942">
            <w:pPr>
              <w:jc w:val="center"/>
              <w:rPr>
                <w:rFonts w:asciiTheme="majorHAnsi" w:hAnsiTheme="majorHAnsi" w:cstheme="majorHAnsi"/>
                <w:sz w:val="20"/>
                <w:szCs w:val="18"/>
              </w:rPr>
            </w:pPr>
            <w:r w:rsidRPr="00C872B3">
              <w:rPr>
                <w:rFonts w:asciiTheme="majorHAnsi" w:hAnsiTheme="majorHAnsi" w:cstheme="majorHAnsi"/>
                <w:sz w:val="20"/>
                <w:szCs w:val="18"/>
              </w:rPr>
              <w:t>0.55</w:t>
            </w:r>
          </w:p>
        </w:tc>
      </w:tr>
      <w:tr w:rsidR="00D62070" w:rsidRPr="00D62070" w14:paraId="2A81E3B1" w14:textId="77777777" w:rsidTr="00E67942">
        <w:trPr>
          <w:trHeight w:val="110"/>
        </w:trPr>
        <w:tc>
          <w:tcPr>
            <w:tcW w:w="1458" w:type="dxa"/>
            <w:tcBorders>
              <w:bottom w:val="single" w:sz="4" w:space="0" w:color="auto"/>
            </w:tcBorders>
          </w:tcPr>
          <w:p w14:paraId="394CE9BC" w14:textId="77777777" w:rsidR="00D62070" w:rsidRPr="00C872B3" w:rsidRDefault="00D62070" w:rsidP="00E67942">
            <w:pPr>
              <w:jc w:val="center"/>
              <w:rPr>
                <w:rFonts w:asciiTheme="majorHAnsi" w:hAnsiTheme="majorHAnsi" w:cstheme="majorHAnsi"/>
                <w:sz w:val="20"/>
                <w:szCs w:val="18"/>
              </w:rPr>
            </w:pPr>
            <w:r w:rsidRPr="00C872B3">
              <w:rPr>
                <w:rFonts w:asciiTheme="majorHAnsi" w:hAnsiTheme="majorHAnsi" w:cstheme="majorHAnsi"/>
                <w:sz w:val="20"/>
                <w:szCs w:val="18"/>
              </w:rPr>
              <w:t>4</w:t>
            </w:r>
          </w:p>
        </w:tc>
        <w:tc>
          <w:tcPr>
            <w:tcW w:w="1890" w:type="dxa"/>
            <w:tcBorders>
              <w:bottom w:val="single" w:sz="4" w:space="0" w:color="auto"/>
            </w:tcBorders>
          </w:tcPr>
          <w:p w14:paraId="56AF9F5F" w14:textId="77777777" w:rsidR="00D62070" w:rsidRPr="00C872B3" w:rsidRDefault="00D62070" w:rsidP="00E67942">
            <w:pPr>
              <w:jc w:val="center"/>
              <w:rPr>
                <w:rFonts w:asciiTheme="majorHAnsi" w:hAnsiTheme="majorHAnsi" w:cstheme="majorHAnsi"/>
                <w:sz w:val="20"/>
                <w:szCs w:val="18"/>
              </w:rPr>
            </w:pPr>
            <w:r w:rsidRPr="00C872B3">
              <w:rPr>
                <w:rFonts w:asciiTheme="majorHAnsi" w:hAnsiTheme="majorHAnsi" w:cstheme="majorHAnsi"/>
                <w:sz w:val="20"/>
                <w:szCs w:val="18"/>
              </w:rPr>
              <w:t>0.57</w:t>
            </w:r>
          </w:p>
        </w:tc>
      </w:tr>
      <w:tr w:rsidR="00D62070" w:rsidRPr="00D62070" w14:paraId="40D60657" w14:textId="77777777" w:rsidTr="00E67942">
        <w:trPr>
          <w:trHeight w:val="110"/>
        </w:trPr>
        <w:tc>
          <w:tcPr>
            <w:tcW w:w="1458" w:type="dxa"/>
            <w:tcBorders>
              <w:top w:val="single" w:sz="4" w:space="0" w:color="auto"/>
              <w:bottom w:val="single" w:sz="4" w:space="0" w:color="auto"/>
            </w:tcBorders>
          </w:tcPr>
          <w:p w14:paraId="5408D185" w14:textId="77777777" w:rsidR="00D62070" w:rsidRPr="00C872B3" w:rsidRDefault="00D62070" w:rsidP="00E67942">
            <w:pPr>
              <w:jc w:val="center"/>
              <w:rPr>
                <w:rFonts w:asciiTheme="majorHAnsi" w:hAnsiTheme="majorHAnsi" w:cstheme="majorHAnsi"/>
                <w:sz w:val="20"/>
                <w:szCs w:val="18"/>
              </w:rPr>
            </w:pPr>
            <w:r w:rsidRPr="00C872B3">
              <w:rPr>
                <w:rFonts w:asciiTheme="majorHAnsi" w:hAnsiTheme="majorHAnsi" w:cstheme="majorHAnsi"/>
                <w:sz w:val="20"/>
                <w:szCs w:val="18"/>
              </w:rPr>
              <w:t>Average</w:t>
            </w:r>
          </w:p>
        </w:tc>
        <w:tc>
          <w:tcPr>
            <w:tcW w:w="1890" w:type="dxa"/>
            <w:tcBorders>
              <w:top w:val="single" w:sz="4" w:space="0" w:color="auto"/>
              <w:bottom w:val="single" w:sz="4" w:space="0" w:color="auto"/>
            </w:tcBorders>
          </w:tcPr>
          <w:p w14:paraId="715ABB72" w14:textId="77777777" w:rsidR="00D62070" w:rsidRPr="00C872B3" w:rsidRDefault="00D62070" w:rsidP="00E67942">
            <w:pPr>
              <w:jc w:val="center"/>
              <w:rPr>
                <w:rFonts w:asciiTheme="majorHAnsi" w:hAnsiTheme="majorHAnsi" w:cstheme="majorHAnsi"/>
                <w:sz w:val="20"/>
                <w:szCs w:val="18"/>
              </w:rPr>
            </w:pPr>
            <w:r w:rsidRPr="00C872B3">
              <w:rPr>
                <w:rFonts w:asciiTheme="majorHAnsi" w:hAnsiTheme="majorHAnsi" w:cstheme="majorHAnsi"/>
                <w:sz w:val="20"/>
                <w:szCs w:val="18"/>
              </w:rPr>
              <w:t>0.58 (SD = 0.04)</w:t>
            </w:r>
          </w:p>
        </w:tc>
      </w:tr>
    </w:tbl>
    <w:p w14:paraId="456666A2" w14:textId="77777777" w:rsidR="00405666" w:rsidRPr="00467004" w:rsidRDefault="00405666" w:rsidP="009D0AB7">
      <w:pPr>
        <w:rPr>
          <w:rFonts w:asciiTheme="majorHAnsi" w:hAnsiTheme="majorHAnsi" w:cstheme="majorHAnsi"/>
          <w:i/>
          <w:iCs/>
          <w:sz w:val="22"/>
          <w:highlight w:val="yellow"/>
        </w:rPr>
      </w:pPr>
    </w:p>
    <w:p w14:paraId="61D1DA32" w14:textId="77777777" w:rsidR="00542A18" w:rsidRPr="00467004" w:rsidRDefault="00542A18" w:rsidP="009D0AB7">
      <w:pPr>
        <w:rPr>
          <w:rFonts w:asciiTheme="majorHAnsi" w:hAnsiTheme="majorHAnsi" w:cstheme="majorHAnsi"/>
          <w:i/>
          <w:iCs/>
          <w:sz w:val="22"/>
          <w:highlight w:val="yellow"/>
        </w:rPr>
      </w:pPr>
    </w:p>
    <w:p w14:paraId="3E818EF9" w14:textId="77777777" w:rsidR="00542A18" w:rsidRPr="001E0853" w:rsidRDefault="00542A18" w:rsidP="00542A18">
      <w:pPr>
        <w:rPr>
          <w:rFonts w:asciiTheme="majorHAnsi" w:hAnsiTheme="majorHAnsi" w:cstheme="majorHAnsi"/>
          <w:szCs w:val="24"/>
        </w:rPr>
      </w:pPr>
      <w:r w:rsidRPr="001E0853">
        <w:rPr>
          <w:rFonts w:asciiTheme="majorHAnsi" w:hAnsiTheme="majorHAnsi" w:cstheme="majorHAnsi"/>
          <w:b/>
          <w:bCs/>
          <w:szCs w:val="24"/>
        </w:rPr>
        <w:t xml:space="preserve">Identification of VMEs </w:t>
      </w:r>
    </w:p>
    <w:p w14:paraId="5A189469" w14:textId="5755E8F6" w:rsidR="00542A18" w:rsidRPr="001E0853" w:rsidRDefault="00542A18" w:rsidP="00542A18">
      <w:pPr>
        <w:rPr>
          <w:rFonts w:asciiTheme="majorHAnsi" w:hAnsiTheme="majorHAnsi" w:cstheme="majorHAnsi"/>
          <w:szCs w:val="24"/>
        </w:rPr>
      </w:pPr>
      <w:r w:rsidRPr="001E0853">
        <w:rPr>
          <w:rFonts w:asciiTheme="majorHAnsi" w:hAnsiTheme="majorHAnsi" w:cstheme="majorHAnsi"/>
          <w:szCs w:val="24"/>
        </w:rPr>
        <w:t xml:space="preserve">Only </w:t>
      </w:r>
      <w:r w:rsidR="00D62070" w:rsidRPr="001E0853">
        <w:rPr>
          <w:rFonts w:asciiTheme="majorHAnsi" w:hAnsiTheme="majorHAnsi" w:cstheme="majorHAnsi"/>
          <w:szCs w:val="24"/>
        </w:rPr>
        <w:t>5.9</w:t>
      </w:r>
      <w:r w:rsidRPr="001E0853">
        <w:rPr>
          <w:rFonts w:asciiTheme="majorHAnsi" w:hAnsiTheme="majorHAnsi" w:cstheme="majorHAnsi"/>
          <w:szCs w:val="24"/>
        </w:rPr>
        <w:t>% of the 50 m</w:t>
      </w:r>
      <w:r w:rsidRPr="001E0853">
        <w:rPr>
          <w:rFonts w:asciiTheme="majorHAnsi" w:hAnsiTheme="majorHAnsi" w:cstheme="majorHAnsi"/>
          <w:szCs w:val="24"/>
          <w:vertAlign w:val="superscript"/>
        </w:rPr>
        <w:t>2</w:t>
      </w:r>
      <w:r w:rsidRPr="001E0853">
        <w:rPr>
          <w:rFonts w:asciiTheme="majorHAnsi" w:hAnsiTheme="majorHAnsi" w:cstheme="majorHAnsi"/>
          <w:szCs w:val="24"/>
        </w:rPr>
        <w:t xml:space="preserve"> transect segments (</w:t>
      </w:r>
      <w:r w:rsidR="00F4605F" w:rsidRPr="001E0853">
        <w:rPr>
          <w:rFonts w:asciiTheme="majorHAnsi" w:hAnsiTheme="majorHAnsi" w:cstheme="majorHAnsi"/>
          <w:szCs w:val="24"/>
        </w:rPr>
        <w:t xml:space="preserve">13 </w:t>
      </w:r>
      <w:r w:rsidRPr="001E0853">
        <w:rPr>
          <w:rFonts w:asciiTheme="majorHAnsi" w:hAnsiTheme="majorHAnsi" w:cstheme="majorHAnsi"/>
          <w:szCs w:val="24"/>
        </w:rPr>
        <w:t>of 221) had VME density values above the threshold of 0.</w:t>
      </w:r>
      <w:r w:rsidR="00DA1D60" w:rsidRPr="001E0853">
        <w:rPr>
          <w:rFonts w:asciiTheme="majorHAnsi" w:hAnsiTheme="majorHAnsi" w:cstheme="majorHAnsi"/>
          <w:szCs w:val="24"/>
        </w:rPr>
        <w:t>58</w:t>
      </w:r>
      <w:r w:rsidRPr="001E0853">
        <w:rPr>
          <w:rFonts w:asciiTheme="majorHAnsi" w:hAnsiTheme="majorHAnsi" w:cstheme="majorHAnsi"/>
          <w:szCs w:val="24"/>
        </w:rPr>
        <w:t xml:space="preserve"> VME indicator colonies m</w:t>
      </w:r>
      <w:r w:rsidRPr="001E0853">
        <w:rPr>
          <w:rFonts w:asciiTheme="majorHAnsi" w:hAnsiTheme="majorHAnsi" w:cstheme="majorHAnsi"/>
          <w:szCs w:val="24"/>
          <w:vertAlign w:val="superscript"/>
        </w:rPr>
        <w:t>-2</w:t>
      </w:r>
      <w:r w:rsidRPr="001E0853">
        <w:rPr>
          <w:rFonts w:asciiTheme="majorHAnsi" w:hAnsiTheme="majorHAnsi" w:cstheme="majorHAnsi"/>
          <w:szCs w:val="24"/>
        </w:rPr>
        <w:t xml:space="preserve">. This resulted in </w:t>
      </w:r>
      <w:r w:rsidR="00C50512" w:rsidRPr="001E0853">
        <w:rPr>
          <w:rFonts w:asciiTheme="majorHAnsi" w:hAnsiTheme="majorHAnsi" w:cstheme="majorHAnsi"/>
          <w:szCs w:val="24"/>
        </w:rPr>
        <w:t xml:space="preserve">a total of </w:t>
      </w:r>
      <w:r w:rsidR="00DA1D60" w:rsidRPr="001E0853">
        <w:rPr>
          <w:rFonts w:asciiTheme="majorHAnsi" w:hAnsiTheme="majorHAnsi" w:cstheme="majorHAnsi"/>
          <w:szCs w:val="24"/>
        </w:rPr>
        <w:t>eight</w:t>
      </w:r>
      <w:r w:rsidRPr="001E0853">
        <w:rPr>
          <w:rFonts w:asciiTheme="majorHAnsi" w:hAnsiTheme="majorHAnsi" w:cstheme="majorHAnsi"/>
          <w:szCs w:val="24"/>
        </w:rPr>
        <w:t xml:space="preserve"> VME areas</w:t>
      </w:r>
      <w:r w:rsidR="00DA1D60" w:rsidRPr="001E0853">
        <w:rPr>
          <w:rFonts w:asciiTheme="majorHAnsi" w:hAnsiTheme="majorHAnsi" w:cstheme="majorHAnsi"/>
          <w:szCs w:val="24"/>
        </w:rPr>
        <w:t>, three of which are new</w:t>
      </w:r>
      <w:r w:rsidR="005171C1" w:rsidRPr="001E0853">
        <w:rPr>
          <w:rFonts w:asciiTheme="majorHAnsi" w:hAnsiTheme="majorHAnsi" w:cstheme="majorHAnsi"/>
          <w:szCs w:val="24"/>
        </w:rPr>
        <w:t>ly identified this year (Table 3)</w:t>
      </w:r>
      <w:r w:rsidRPr="001E0853">
        <w:rPr>
          <w:rFonts w:asciiTheme="majorHAnsi" w:hAnsiTheme="majorHAnsi" w:cstheme="majorHAnsi"/>
          <w:szCs w:val="24"/>
        </w:rPr>
        <w:t xml:space="preserve">. VMEs ranged in size from 50 </w:t>
      </w:r>
      <w:r w:rsidR="00DA1D60" w:rsidRPr="001E0853">
        <w:rPr>
          <w:rFonts w:asciiTheme="majorHAnsi" w:hAnsiTheme="majorHAnsi" w:cstheme="majorHAnsi"/>
          <w:szCs w:val="24"/>
        </w:rPr>
        <w:t>–</w:t>
      </w:r>
      <w:r w:rsidRPr="001E0853">
        <w:rPr>
          <w:rFonts w:asciiTheme="majorHAnsi" w:hAnsiTheme="majorHAnsi" w:cstheme="majorHAnsi"/>
          <w:szCs w:val="24"/>
        </w:rPr>
        <w:t xml:space="preserve"> 200</w:t>
      </w:r>
      <w:r w:rsidR="00DA1D60" w:rsidRPr="001E0853">
        <w:rPr>
          <w:rFonts w:asciiTheme="majorHAnsi" w:hAnsiTheme="majorHAnsi" w:cstheme="majorHAnsi"/>
          <w:szCs w:val="24"/>
        </w:rPr>
        <w:t xml:space="preserve"> </w:t>
      </w:r>
      <w:r w:rsidRPr="001E0853">
        <w:rPr>
          <w:rFonts w:asciiTheme="majorHAnsi" w:hAnsiTheme="majorHAnsi" w:cstheme="majorHAnsi"/>
          <w:szCs w:val="24"/>
        </w:rPr>
        <w:t>m</w:t>
      </w:r>
      <w:r w:rsidRPr="001E0853">
        <w:rPr>
          <w:rFonts w:asciiTheme="majorHAnsi" w:hAnsiTheme="majorHAnsi" w:cstheme="majorHAnsi"/>
          <w:szCs w:val="24"/>
          <w:vertAlign w:val="superscript"/>
        </w:rPr>
        <w:t>2</w:t>
      </w:r>
      <w:r w:rsidRPr="001E0853">
        <w:rPr>
          <w:rFonts w:asciiTheme="majorHAnsi" w:hAnsiTheme="majorHAnsi" w:cstheme="majorHAnsi"/>
          <w:szCs w:val="24"/>
        </w:rPr>
        <w:t xml:space="preserve"> and ranged in depth from approximately 500 m to 1150 m </w:t>
      </w:r>
      <w:r w:rsidRPr="009B7D33">
        <w:rPr>
          <w:rFonts w:asciiTheme="majorHAnsi" w:hAnsiTheme="majorHAnsi" w:cstheme="majorHAnsi"/>
          <w:szCs w:val="24"/>
        </w:rPr>
        <w:t xml:space="preserve">(Figure 3). </w:t>
      </w:r>
      <w:r w:rsidRPr="001E0853">
        <w:rPr>
          <w:rFonts w:asciiTheme="majorHAnsi" w:hAnsiTheme="majorHAnsi" w:cstheme="majorHAnsi"/>
          <w:szCs w:val="24"/>
        </w:rPr>
        <w:t xml:space="preserve">VMEs were identified on </w:t>
      </w:r>
      <w:r w:rsidR="00DA1D60" w:rsidRPr="001E0853">
        <w:rPr>
          <w:rFonts w:asciiTheme="majorHAnsi" w:hAnsiTheme="majorHAnsi" w:cstheme="majorHAnsi"/>
          <w:szCs w:val="24"/>
        </w:rPr>
        <w:t>three</w:t>
      </w:r>
      <w:r w:rsidRPr="001E0853">
        <w:rPr>
          <w:rFonts w:asciiTheme="majorHAnsi" w:hAnsiTheme="majorHAnsi" w:cstheme="majorHAnsi"/>
          <w:szCs w:val="24"/>
        </w:rPr>
        <w:t xml:space="preserve"> out of the four AUV transects on Cobb Seamount. The largest VME areas occurred </w:t>
      </w:r>
      <w:r w:rsidR="00B634C7" w:rsidRPr="001E0853">
        <w:rPr>
          <w:rFonts w:asciiTheme="majorHAnsi" w:hAnsiTheme="majorHAnsi" w:cstheme="majorHAnsi"/>
          <w:szCs w:val="24"/>
        </w:rPr>
        <w:t>on</w:t>
      </w:r>
      <w:r w:rsidRPr="001E0853">
        <w:rPr>
          <w:rFonts w:asciiTheme="majorHAnsi" w:hAnsiTheme="majorHAnsi" w:cstheme="majorHAnsi"/>
          <w:szCs w:val="24"/>
        </w:rPr>
        <w:t xml:space="preserve"> the deepest </w:t>
      </w:r>
      <w:r w:rsidR="00B634C7" w:rsidRPr="001E0853">
        <w:rPr>
          <w:rFonts w:asciiTheme="majorHAnsi" w:hAnsiTheme="majorHAnsi" w:cstheme="majorHAnsi"/>
          <w:szCs w:val="24"/>
        </w:rPr>
        <w:t>parts</w:t>
      </w:r>
      <w:r w:rsidRPr="001E0853">
        <w:rPr>
          <w:rFonts w:asciiTheme="majorHAnsi" w:hAnsiTheme="majorHAnsi" w:cstheme="majorHAnsi"/>
          <w:szCs w:val="24"/>
        </w:rPr>
        <w:t xml:space="preserve"> of transect AUV 4. VMEs on transect AUV</w:t>
      </w:r>
      <w:r w:rsidR="00DA1D60" w:rsidRPr="001E0853">
        <w:rPr>
          <w:rFonts w:asciiTheme="majorHAnsi" w:hAnsiTheme="majorHAnsi" w:cstheme="majorHAnsi"/>
          <w:szCs w:val="24"/>
        </w:rPr>
        <w:t xml:space="preserve"> </w:t>
      </w:r>
      <w:r w:rsidRPr="001E0853">
        <w:rPr>
          <w:rFonts w:asciiTheme="majorHAnsi" w:hAnsiTheme="majorHAnsi" w:cstheme="majorHAnsi"/>
          <w:szCs w:val="24"/>
        </w:rPr>
        <w:t>4 included colonies of gorgonian corals (29</w:t>
      </w:r>
      <w:r w:rsidR="00406572" w:rsidRPr="001E0853">
        <w:rPr>
          <w:rFonts w:asciiTheme="majorHAnsi" w:hAnsiTheme="majorHAnsi" w:cstheme="majorHAnsi"/>
          <w:szCs w:val="24"/>
        </w:rPr>
        <w:t>6</w:t>
      </w:r>
      <w:r w:rsidRPr="001E0853">
        <w:rPr>
          <w:rFonts w:asciiTheme="majorHAnsi" w:hAnsiTheme="majorHAnsi" w:cstheme="majorHAnsi"/>
          <w:szCs w:val="24"/>
        </w:rPr>
        <w:t xml:space="preserve"> colonies) with some black corals (</w:t>
      </w:r>
      <w:r w:rsidR="006A775B" w:rsidRPr="001E0853">
        <w:rPr>
          <w:rFonts w:asciiTheme="majorHAnsi" w:hAnsiTheme="majorHAnsi" w:cstheme="majorHAnsi"/>
          <w:szCs w:val="24"/>
        </w:rPr>
        <w:t xml:space="preserve">78 </w:t>
      </w:r>
      <w:r w:rsidRPr="001E0853">
        <w:rPr>
          <w:rFonts w:asciiTheme="majorHAnsi" w:hAnsiTheme="majorHAnsi" w:cstheme="majorHAnsi"/>
          <w:szCs w:val="24"/>
        </w:rPr>
        <w:t>colonies) and a few sponges (</w:t>
      </w:r>
      <w:r w:rsidR="006A775B" w:rsidRPr="001E0853">
        <w:rPr>
          <w:rFonts w:asciiTheme="majorHAnsi" w:hAnsiTheme="majorHAnsi" w:cstheme="majorHAnsi"/>
          <w:szCs w:val="24"/>
        </w:rPr>
        <w:t xml:space="preserve">35 </w:t>
      </w:r>
      <w:r w:rsidRPr="001E0853">
        <w:rPr>
          <w:rFonts w:asciiTheme="majorHAnsi" w:hAnsiTheme="majorHAnsi" w:cstheme="majorHAnsi"/>
          <w:szCs w:val="24"/>
        </w:rPr>
        <w:t>colonies)</w:t>
      </w:r>
      <w:r w:rsidR="00B634C7" w:rsidRPr="001E0853">
        <w:rPr>
          <w:rFonts w:asciiTheme="majorHAnsi" w:hAnsiTheme="majorHAnsi" w:cstheme="majorHAnsi"/>
          <w:szCs w:val="24"/>
        </w:rPr>
        <w:t>. T</w:t>
      </w:r>
      <w:r w:rsidRPr="001E0853">
        <w:rPr>
          <w:rFonts w:asciiTheme="majorHAnsi" w:hAnsiTheme="majorHAnsi" w:cstheme="majorHAnsi"/>
          <w:szCs w:val="24"/>
        </w:rPr>
        <w:t>he VME on transect AUV 2 consisted of mainly black corals (30 colonies) and only one gorgonian and one</w:t>
      </w:r>
      <w:r w:rsidR="000357B3" w:rsidRPr="001E0853">
        <w:rPr>
          <w:rFonts w:asciiTheme="majorHAnsi" w:hAnsiTheme="majorHAnsi" w:cstheme="majorHAnsi"/>
          <w:szCs w:val="24"/>
        </w:rPr>
        <w:t xml:space="preserve"> </w:t>
      </w:r>
      <w:r w:rsidRPr="001E0853">
        <w:rPr>
          <w:rFonts w:asciiTheme="majorHAnsi" w:hAnsiTheme="majorHAnsi" w:cstheme="majorHAnsi"/>
          <w:szCs w:val="24"/>
        </w:rPr>
        <w:t xml:space="preserve">sponge. </w:t>
      </w:r>
      <w:r w:rsidR="00B634C7" w:rsidRPr="001E0853">
        <w:rPr>
          <w:rFonts w:asciiTheme="majorHAnsi" w:hAnsiTheme="majorHAnsi" w:cstheme="majorHAnsi"/>
          <w:szCs w:val="24"/>
        </w:rPr>
        <w:t xml:space="preserve">The VME on transect AUV 5 </w:t>
      </w:r>
      <w:r w:rsidR="009B2F80" w:rsidRPr="001E0853">
        <w:rPr>
          <w:rFonts w:asciiTheme="majorHAnsi" w:hAnsiTheme="majorHAnsi" w:cstheme="majorHAnsi"/>
          <w:szCs w:val="24"/>
        </w:rPr>
        <w:t>included all groups of VME indicator taxa</w:t>
      </w:r>
      <w:r w:rsidR="003C09B2" w:rsidRPr="001E0853">
        <w:rPr>
          <w:rFonts w:asciiTheme="majorHAnsi" w:hAnsiTheme="majorHAnsi" w:cstheme="majorHAnsi"/>
          <w:szCs w:val="24"/>
        </w:rPr>
        <w:t>, gorgonian being the most abundant (19 colonies</w:t>
      </w:r>
      <w:r w:rsidR="00716A39" w:rsidRPr="001E0853">
        <w:rPr>
          <w:rFonts w:asciiTheme="majorHAnsi" w:hAnsiTheme="majorHAnsi" w:cstheme="majorHAnsi"/>
          <w:szCs w:val="24"/>
        </w:rPr>
        <w:t>).</w:t>
      </w:r>
      <w:r w:rsidR="00B634C7" w:rsidRPr="001E0853">
        <w:rPr>
          <w:rFonts w:asciiTheme="majorHAnsi" w:hAnsiTheme="majorHAnsi" w:cstheme="majorHAnsi"/>
          <w:szCs w:val="24"/>
        </w:rPr>
        <w:t xml:space="preserve"> </w:t>
      </w:r>
      <w:r w:rsidRPr="001E0853">
        <w:rPr>
          <w:rFonts w:asciiTheme="majorHAnsi" w:hAnsiTheme="majorHAnsi" w:cstheme="majorHAnsi"/>
          <w:szCs w:val="24"/>
        </w:rPr>
        <w:t>The total area assessed for VMEs in this study was 0.011 km</w:t>
      </w:r>
      <w:r w:rsidRPr="001E0853">
        <w:rPr>
          <w:rFonts w:asciiTheme="majorHAnsi" w:hAnsiTheme="majorHAnsi" w:cstheme="majorHAnsi"/>
          <w:szCs w:val="24"/>
          <w:vertAlign w:val="superscript"/>
        </w:rPr>
        <w:t>2</w:t>
      </w:r>
      <w:r w:rsidRPr="001E0853">
        <w:rPr>
          <w:rFonts w:asciiTheme="majorHAnsi" w:hAnsiTheme="majorHAnsi" w:cstheme="majorHAnsi"/>
          <w:szCs w:val="24"/>
        </w:rPr>
        <w:t xml:space="preserve"> and the total area identified as VMEs was 0.</w:t>
      </w:r>
      <w:r w:rsidR="007F17DA" w:rsidRPr="001E0853">
        <w:rPr>
          <w:rFonts w:asciiTheme="majorHAnsi" w:hAnsiTheme="majorHAnsi" w:cstheme="majorHAnsi"/>
          <w:szCs w:val="24"/>
        </w:rPr>
        <w:t xml:space="preserve">0007 </w:t>
      </w:r>
      <w:r w:rsidRPr="001E0853">
        <w:rPr>
          <w:rFonts w:asciiTheme="majorHAnsi" w:hAnsiTheme="majorHAnsi" w:cstheme="majorHAnsi"/>
          <w:szCs w:val="24"/>
        </w:rPr>
        <w:t>km</w:t>
      </w:r>
      <w:r w:rsidRPr="001E0853">
        <w:rPr>
          <w:rFonts w:asciiTheme="majorHAnsi" w:hAnsiTheme="majorHAnsi" w:cstheme="majorHAnsi"/>
          <w:szCs w:val="24"/>
          <w:vertAlign w:val="superscript"/>
        </w:rPr>
        <w:t>2</w:t>
      </w:r>
      <w:r w:rsidRPr="001E0853">
        <w:rPr>
          <w:rFonts w:asciiTheme="majorHAnsi" w:hAnsiTheme="majorHAnsi" w:cstheme="majorHAnsi"/>
          <w:szCs w:val="24"/>
        </w:rPr>
        <w:t xml:space="preserve">, resulting in </w:t>
      </w:r>
      <w:r w:rsidR="00556861" w:rsidRPr="001E0853">
        <w:rPr>
          <w:rFonts w:asciiTheme="majorHAnsi" w:hAnsiTheme="majorHAnsi" w:cstheme="majorHAnsi"/>
          <w:szCs w:val="24"/>
        </w:rPr>
        <w:t>6.4</w:t>
      </w:r>
      <w:r w:rsidRPr="001E0853">
        <w:rPr>
          <w:rFonts w:asciiTheme="majorHAnsi" w:hAnsiTheme="majorHAnsi" w:cstheme="majorHAnsi"/>
          <w:szCs w:val="24"/>
        </w:rPr>
        <w:t xml:space="preserve">% of assessed </w:t>
      </w:r>
      <w:proofErr w:type="gramStart"/>
      <w:r w:rsidRPr="001E0853">
        <w:rPr>
          <w:rFonts w:asciiTheme="majorHAnsi" w:hAnsiTheme="majorHAnsi" w:cstheme="majorHAnsi"/>
          <w:szCs w:val="24"/>
        </w:rPr>
        <w:t>area</w:t>
      </w:r>
      <w:proofErr w:type="gramEnd"/>
      <w:r w:rsidRPr="001E0853">
        <w:rPr>
          <w:rFonts w:asciiTheme="majorHAnsi" w:hAnsiTheme="majorHAnsi" w:cstheme="majorHAnsi"/>
          <w:szCs w:val="24"/>
        </w:rPr>
        <w:t xml:space="preserve"> identified as VME.</w:t>
      </w:r>
    </w:p>
    <w:p w14:paraId="2BC7C11C" w14:textId="77777777" w:rsidR="00E52A27" w:rsidRDefault="00E52A27" w:rsidP="00542A18">
      <w:pPr>
        <w:rPr>
          <w:rFonts w:asciiTheme="majorHAnsi" w:hAnsiTheme="majorHAnsi" w:cstheme="majorHAnsi"/>
          <w:szCs w:val="24"/>
          <w:highlight w:val="green"/>
        </w:rPr>
      </w:pPr>
    </w:p>
    <w:p w14:paraId="768EA59A" w14:textId="16992864" w:rsidR="00240AE1" w:rsidRPr="00EB2E52" w:rsidRDefault="00240AE1" w:rsidP="00542A18">
      <w:pPr>
        <w:rPr>
          <w:rFonts w:asciiTheme="majorHAnsi" w:hAnsiTheme="majorHAnsi" w:cstheme="majorHAnsi"/>
          <w:sz w:val="22"/>
        </w:rPr>
      </w:pPr>
      <w:r w:rsidRPr="00EB2E52">
        <w:rPr>
          <w:rFonts w:asciiTheme="majorHAnsi" w:hAnsiTheme="majorHAnsi" w:cstheme="majorHAnsi"/>
          <w:sz w:val="22"/>
        </w:rPr>
        <w:t>Table 3.</w:t>
      </w:r>
      <w:r w:rsidR="004B20B3" w:rsidRPr="00EB2E52">
        <w:rPr>
          <w:rFonts w:asciiTheme="majorHAnsi" w:hAnsiTheme="majorHAnsi" w:cstheme="majorHAnsi"/>
          <w:sz w:val="22"/>
        </w:rPr>
        <w:t xml:space="preserve"> Summary of VMEs identified on Cobb Seamount.</w:t>
      </w:r>
    </w:p>
    <w:p w14:paraId="15AD93D7" w14:textId="77777777" w:rsidR="00BD4E6B" w:rsidRDefault="00BD4E6B" w:rsidP="00542A18">
      <w:pPr>
        <w:rPr>
          <w:rFonts w:asciiTheme="majorHAnsi" w:hAnsiTheme="majorHAnsi" w:cstheme="majorHAnsi"/>
          <w:szCs w:val="24"/>
        </w:rPr>
      </w:pPr>
    </w:p>
    <w:tbl>
      <w:tblPr>
        <w:tblStyle w:val="PlainTable4"/>
        <w:tblW w:w="9360" w:type="dxa"/>
        <w:tblLayout w:type="fixed"/>
        <w:tblLook w:val="04A0" w:firstRow="1" w:lastRow="0" w:firstColumn="1" w:lastColumn="0" w:noHBand="0" w:noVBand="1"/>
      </w:tblPr>
      <w:tblGrid>
        <w:gridCol w:w="1620"/>
        <w:gridCol w:w="1080"/>
        <w:gridCol w:w="1350"/>
        <w:gridCol w:w="1260"/>
        <w:gridCol w:w="1350"/>
        <w:gridCol w:w="1440"/>
        <w:gridCol w:w="1260"/>
      </w:tblGrid>
      <w:tr w:rsidR="00B11C49" w:rsidRPr="00272B82" w14:paraId="280D7257" w14:textId="77777777" w:rsidTr="006E0D06">
        <w:trPr>
          <w:cnfStyle w:val="100000000000" w:firstRow="1" w:lastRow="0" w:firstColumn="0" w:lastColumn="0" w:oddVBand="0" w:evenVBand="0" w:oddHBand="0" w:evenHBand="0" w:firstRowFirstColumn="0" w:firstRowLastColumn="0" w:lastRowFirstColumn="0" w:lastRowLastColumn="0"/>
          <w:trHeight w:hRule="exact" w:val="450"/>
        </w:trPr>
        <w:tc>
          <w:tcPr>
            <w:cnfStyle w:val="001000000000" w:firstRow="0" w:lastRow="0" w:firstColumn="1" w:lastColumn="0" w:oddVBand="0" w:evenVBand="0" w:oddHBand="0" w:evenHBand="0" w:firstRowFirstColumn="0" w:firstRowLastColumn="0" w:lastRowFirstColumn="0" w:lastRowLastColumn="0"/>
            <w:tcW w:w="0" w:type="dxa"/>
            <w:hideMark/>
          </w:tcPr>
          <w:p w14:paraId="7D17A49F" w14:textId="2EC2FA60" w:rsidR="00BA27E0" w:rsidRPr="002C55FF" w:rsidRDefault="00BA27E0" w:rsidP="006E0D06">
            <w:pPr>
              <w:spacing w:line="220" w:lineRule="exact"/>
              <w:jc w:val="center"/>
              <w:rPr>
                <w:rFonts w:asciiTheme="majorHAnsi" w:hAnsiTheme="majorHAnsi" w:cstheme="majorHAnsi"/>
                <w:sz w:val="20"/>
                <w:szCs w:val="20"/>
              </w:rPr>
            </w:pPr>
            <w:r w:rsidRPr="002C55FF">
              <w:rPr>
                <w:rFonts w:asciiTheme="majorHAnsi" w:hAnsiTheme="majorHAnsi" w:cstheme="majorHAnsi"/>
                <w:sz w:val="20"/>
                <w:szCs w:val="20"/>
              </w:rPr>
              <w:t>VME</w:t>
            </w:r>
          </w:p>
        </w:tc>
        <w:tc>
          <w:tcPr>
            <w:tcW w:w="0" w:type="dxa"/>
          </w:tcPr>
          <w:p w14:paraId="5189D59E" w14:textId="77777777" w:rsidR="00BA27E0" w:rsidRPr="002C55FF" w:rsidRDefault="00BA27E0" w:rsidP="006E0D06">
            <w:pPr>
              <w:spacing w:line="220" w:lineRule="exac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C55FF">
              <w:rPr>
                <w:rFonts w:asciiTheme="majorHAnsi" w:hAnsiTheme="majorHAnsi" w:cstheme="majorHAnsi"/>
                <w:sz w:val="20"/>
                <w:szCs w:val="20"/>
              </w:rPr>
              <w:t>Transect</w:t>
            </w:r>
          </w:p>
          <w:p w14:paraId="4816E675" w14:textId="0BBE36BC" w:rsidR="00BA27E0" w:rsidRPr="002C55FF" w:rsidRDefault="00BA27E0" w:rsidP="006E0D06">
            <w:pPr>
              <w:spacing w:line="220" w:lineRule="exac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Pr>
          <w:p w14:paraId="788FC4E8" w14:textId="3C65216A" w:rsidR="00BA27E0" w:rsidRPr="002C55FF" w:rsidRDefault="00BA27E0" w:rsidP="006E0D06">
            <w:pPr>
              <w:spacing w:line="220" w:lineRule="exac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C55FF">
              <w:rPr>
                <w:rFonts w:asciiTheme="majorHAnsi" w:hAnsiTheme="majorHAnsi" w:cstheme="majorHAnsi"/>
                <w:sz w:val="20"/>
                <w:szCs w:val="20"/>
              </w:rPr>
              <w:t>Year</w:t>
            </w:r>
            <w:r w:rsidR="005F529E">
              <w:rPr>
                <w:rFonts w:asciiTheme="majorHAnsi" w:hAnsiTheme="majorHAnsi" w:cstheme="majorHAnsi"/>
                <w:sz w:val="20"/>
                <w:szCs w:val="20"/>
              </w:rPr>
              <w:t xml:space="preserve"> </w:t>
            </w:r>
            <w:r w:rsidRPr="002C55FF">
              <w:rPr>
                <w:rFonts w:asciiTheme="majorHAnsi" w:hAnsiTheme="majorHAnsi" w:cstheme="majorHAnsi"/>
                <w:sz w:val="20"/>
                <w:szCs w:val="20"/>
              </w:rPr>
              <w:t>Identified</w:t>
            </w:r>
          </w:p>
        </w:tc>
        <w:tc>
          <w:tcPr>
            <w:tcW w:w="1260" w:type="dxa"/>
            <w:hideMark/>
          </w:tcPr>
          <w:p w14:paraId="7795BC4B" w14:textId="3655AD22" w:rsidR="00BA27E0" w:rsidRPr="002C55FF" w:rsidRDefault="00BA27E0" w:rsidP="006E0D06">
            <w:pPr>
              <w:spacing w:line="220" w:lineRule="exac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C55FF">
              <w:rPr>
                <w:rFonts w:asciiTheme="majorHAnsi" w:hAnsiTheme="majorHAnsi" w:cstheme="majorHAnsi"/>
                <w:sz w:val="20"/>
                <w:szCs w:val="20"/>
              </w:rPr>
              <w:t>Depth</w:t>
            </w:r>
            <w:r w:rsidR="006E0D06">
              <w:rPr>
                <w:rFonts w:asciiTheme="majorHAnsi" w:hAnsiTheme="majorHAnsi" w:cstheme="majorHAnsi"/>
                <w:sz w:val="20"/>
                <w:szCs w:val="20"/>
              </w:rPr>
              <w:t xml:space="preserve"> </w:t>
            </w:r>
            <w:r w:rsidRPr="002C55FF">
              <w:rPr>
                <w:rFonts w:asciiTheme="majorHAnsi" w:hAnsiTheme="majorHAnsi" w:cstheme="majorHAnsi"/>
                <w:sz w:val="20"/>
                <w:szCs w:val="20"/>
              </w:rPr>
              <w:t>(m)</w:t>
            </w:r>
          </w:p>
        </w:tc>
        <w:tc>
          <w:tcPr>
            <w:tcW w:w="1350" w:type="dxa"/>
            <w:hideMark/>
          </w:tcPr>
          <w:p w14:paraId="46658806" w14:textId="413FA76D" w:rsidR="00BA27E0" w:rsidRPr="002C55FF" w:rsidRDefault="00BA27E0" w:rsidP="006E0D06">
            <w:pPr>
              <w:spacing w:line="220" w:lineRule="exac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C55FF">
              <w:rPr>
                <w:rFonts w:asciiTheme="majorHAnsi" w:hAnsiTheme="majorHAnsi" w:cstheme="majorHAnsi"/>
                <w:sz w:val="20"/>
                <w:szCs w:val="20"/>
              </w:rPr>
              <w:t>Associated Richness</w:t>
            </w:r>
          </w:p>
        </w:tc>
        <w:tc>
          <w:tcPr>
            <w:tcW w:w="0" w:type="dxa"/>
            <w:hideMark/>
          </w:tcPr>
          <w:p w14:paraId="402034E8" w14:textId="22CB86C6" w:rsidR="00BA27E0" w:rsidRPr="002C55FF" w:rsidRDefault="00BA27E0" w:rsidP="006E0D06">
            <w:pPr>
              <w:spacing w:line="220" w:lineRule="exac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C55FF">
              <w:rPr>
                <w:rFonts w:asciiTheme="majorHAnsi" w:hAnsiTheme="majorHAnsi" w:cstheme="majorHAnsi"/>
                <w:sz w:val="20"/>
                <w:szCs w:val="20"/>
              </w:rPr>
              <w:t>VME Density</w:t>
            </w:r>
          </w:p>
        </w:tc>
        <w:tc>
          <w:tcPr>
            <w:tcW w:w="0" w:type="dxa"/>
            <w:hideMark/>
          </w:tcPr>
          <w:p w14:paraId="2E9A833F" w14:textId="740EA0DB" w:rsidR="00BA27E0" w:rsidRPr="002C55FF" w:rsidRDefault="00BA27E0" w:rsidP="006E0D06">
            <w:pPr>
              <w:spacing w:line="220" w:lineRule="exac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C55FF">
              <w:rPr>
                <w:rFonts w:asciiTheme="majorHAnsi" w:hAnsiTheme="majorHAnsi" w:cstheme="majorHAnsi"/>
                <w:sz w:val="20"/>
                <w:szCs w:val="20"/>
              </w:rPr>
              <w:t>VME Area (m</w:t>
            </w:r>
            <w:r w:rsidRPr="002C55FF">
              <w:rPr>
                <w:rFonts w:asciiTheme="majorHAnsi" w:hAnsiTheme="majorHAnsi" w:cstheme="majorHAnsi"/>
                <w:sz w:val="20"/>
                <w:szCs w:val="20"/>
                <w:vertAlign w:val="superscript"/>
              </w:rPr>
              <w:t>2</w:t>
            </w:r>
            <w:r w:rsidRPr="002C55FF">
              <w:rPr>
                <w:rFonts w:asciiTheme="majorHAnsi" w:hAnsiTheme="majorHAnsi" w:cstheme="majorHAnsi"/>
                <w:sz w:val="20"/>
                <w:szCs w:val="20"/>
              </w:rPr>
              <w:t>)</w:t>
            </w:r>
          </w:p>
        </w:tc>
      </w:tr>
      <w:tr w:rsidR="00B11C49" w:rsidRPr="00272B82" w14:paraId="0E6A43AE" w14:textId="77777777" w:rsidTr="006E0D06">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0" w:type="dxa"/>
            <w:noWrap/>
            <w:hideMark/>
          </w:tcPr>
          <w:p w14:paraId="33B09E16" w14:textId="0EB65F09" w:rsidR="00BA27E0" w:rsidRPr="00EB2E52" w:rsidRDefault="00BA27E0" w:rsidP="00EB2E52">
            <w:pPr>
              <w:jc w:val="center"/>
              <w:rPr>
                <w:rFonts w:asciiTheme="majorHAnsi" w:hAnsiTheme="majorHAnsi" w:cstheme="majorHAnsi"/>
                <w:sz w:val="20"/>
                <w:szCs w:val="20"/>
              </w:rPr>
            </w:pPr>
            <w:r>
              <w:rPr>
                <w:rFonts w:asciiTheme="majorHAnsi" w:hAnsiTheme="majorHAnsi" w:cstheme="majorHAnsi"/>
                <w:sz w:val="20"/>
                <w:szCs w:val="20"/>
              </w:rPr>
              <w:t>COBB_</w:t>
            </w:r>
            <w:r w:rsidRPr="00EB2E52">
              <w:rPr>
                <w:rFonts w:asciiTheme="majorHAnsi" w:hAnsiTheme="majorHAnsi" w:cstheme="majorHAnsi"/>
                <w:sz w:val="20"/>
                <w:szCs w:val="20"/>
              </w:rPr>
              <w:t>VME</w:t>
            </w:r>
            <w:r>
              <w:rPr>
                <w:rFonts w:asciiTheme="majorHAnsi" w:hAnsiTheme="majorHAnsi" w:cstheme="majorHAnsi"/>
                <w:sz w:val="20"/>
                <w:szCs w:val="20"/>
              </w:rPr>
              <w:t>-</w:t>
            </w:r>
            <w:r w:rsidRPr="00EB2E52">
              <w:rPr>
                <w:rFonts w:asciiTheme="majorHAnsi" w:hAnsiTheme="majorHAnsi" w:cstheme="majorHAnsi"/>
                <w:sz w:val="20"/>
                <w:szCs w:val="20"/>
              </w:rPr>
              <w:t>A</w:t>
            </w:r>
          </w:p>
        </w:tc>
        <w:tc>
          <w:tcPr>
            <w:tcW w:w="0" w:type="dxa"/>
          </w:tcPr>
          <w:p w14:paraId="65C3E2BC" w14:textId="4B78B54E" w:rsidR="00BA27E0" w:rsidRDefault="00BA27E0" w:rsidP="0052616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AUV-4</w:t>
            </w:r>
          </w:p>
        </w:tc>
        <w:tc>
          <w:tcPr>
            <w:tcW w:w="0" w:type="dxa"/>
          </w:tcPr>
          <w:p w14:paraId="367028D6" w14:textId="0F525CEE" w:rsidR="00BA27E0" w:rsidRPr="007A7581" w:rsidRDefault="00BA27E0" w:rsidP="0052616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2023</w:t>
            </w:r>
          </w:p>
        </w:tc>
        <w:tc>
          <w:tcPr>
            <w:tcW w:w="0" w:type="dxa"/>
            <w:noWrap/>
            <w:hideMark/>
          </w:tcPr>
          <w:p w14:paraId="2EE91DEF" w14:textId="009D5543"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1141</w:t>
            </w:r>
          </w:p>
        </w:tc>
        <w:tc>
          <w:tcPr>
            <w:tcW w:w="1350" w:type="dxa"/>
            <w:noWrap/>
            <w:hideMark/>
          </w:tcPr>
          <w:p w14:paraId="402E38C2" w14:textId="1A51B3EC"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4.5</w:t>
            </w:r>
          </w:p>
        </w:tc>
        <w:tc>
          <w:tcPr>
            <w:tcW w:w="0" w:type="dxa"/>
            <w:noWrap/>
            <w:hideMark/>
          </w:tcPr>
          <w:p w14:paraId="484449A3" w14:textId="30576AD3"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0.91</w:t>
            </w:r>
          </w:p>
        </w:tc>
        <w:tc>
          <w:tcPr>
            <w:tcW w:w="0" w:type="dxa"/>
            <w:noWrap/>
            <w:hideMark/>
          </w:tcPr>
          <w:p w14:paraId="7EC9BFE9" w14:textId="0ADE0CB1"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201</w:t>
            </w:r>
          </w:p>
        </w:tc>
      </w:tr>
      <w:tr w:rsidR="00B11C49" w:rsidRPr="00272B82" w14:paraId="3E4A60C6" w14:textId="77777777" w:rsidTr="00B11C49">
        <w:trPr>
          <w:trHeight w:hRule="exact" w:val="360"/>
        </w:trPr>
        <w:tc>
          <w:tcPr>
            <w:cnfStyle w:val="001000000000" w:firstRow="0" w:lastRow="0" w:firstColumn="1" w:lastColumn="0" w:oddVBand="0" w:evenVBand="0" w:oddHBand="0" w:evenHBand="0" w:firstRowFirstColumn="0" w:firstRowLastColumn="0" w:lastRowFirstColumn="0" w:lastRowLastColumn="0"/>
            <w:tcW w:w="1620" w:type="dxa"/>
            <w:noWrap/>
            <w:hideMark/>
          </w:tcPr>
          <w:p w14:paraId="5ED5CF1F" w14:textId="5E201161" w:rsidR="00BA27E0" w:rsidRPr="00EB2E52" w:rsidRDefault="00BA27E0" w:rsidP="00EB2E52">
            <w:pPr>
              <w:jc w:val="center"/>
              <w:rPr>
                <w:rFonts w:asciiTheme="majorHAnsi" w:hAnsiTheme="majorHAnsi" w:cstheme="majorHAnsi"/>
                <w:sz w:val="20"/>
                <w:szCs w:val="20"/>
              </w:rPr>
            </w:pPr>
            <w:r>
              <w:rPr>
                <w:rFonts w:asciiTheme="majorHAnsi" w:hAnsiTheme="majorHAnsi" w:cstheme="majorHAnsi"/>
                <w:sz w:val="20"/>
                <w:szCs w:val="20"/>
              </w:rPr>
              <w:t>COBB_</w:t>
            </w:r>
            <w:r w:rsidRPr="00EB2E52">
              <w:rPr>
                <w:rFonts w:asciiTheme="majorHAnsi" w:hAnsiTheme="majorHAnsi" w:cstheme="majorHAnsi"/>
                <w:sz w:val="20"/>
                <w:szCs w:val="20"/>
              </w:rPr>
              <w:t>VME</w:t>
            </w:r>
            <w:r>
              <w:rPr>
                <w:rFonts w:asciiTheme="majorHAnsi" w:hAnsiTheme="majorHAnsi" w:cstheme="majorHAnsi"/>
                <w:sz w:val="20"/>
                <w:szCs w:val="20"/>
              </w:rPr>
              <w:t>-</w:t>
            </w:r>
            <w:r w:rsidRPr="00EB2E52">
              <w:rPr>
                <w:rFonts w:asciiTheme="majorHAnsi" w:hAnsiTheme="majorHAnsi" w:cstheme="majorHAnsi"/>
                <w:sz w:val="20"/>
                <w:szCs w:val="20"/>
              </w:rPr>
              <w:t>B</w:t>
            </w:r>
          </w:p>
        </w:tc>
        <w:tc>
          <w:tcPr>
            <w:tcW w:w="1080" w:type="dxa"/>
          </w:tcPr>
          <w:p w14:paraId="436232C6" w14:textId="36A719F1" w:rsidR="00BA27E0" w:rsidRDefault="00BA27E0" w:rsidP="00BA27E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AUV-4</w:t>
            </w:r>
          </w:p>
        </w:tc>
        <w:tc>
          <w:tcPr>
            <w:tcW w:w="1350" w:type="dxa"/>
          </w:tcPr>
          <w:p w14:paraId="120E4C5A" w14:textId="3D3F6067" w:rsidR="00BA27E0" w:rsidRPr="007A7581" w:rsidRDefault="00BA27E0" w:rsidP="00BA27E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2023</w:t>
            </w:r>
          </w:p>
        </w:tc>
        <w:tc>
          <w:tcPr>
            <w:tcW w:w="1260" w:type="dxa"/>
            <w:noWrap/>
            <w:hideMark/>
          </w:tcPr>
          <w:p w14:paraId="4B8ACF03" w14:textId="77BF3E51"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1115</w:t>
            </w:r>
          </w:p>
        </w:tc>
        <w:tc>
          <w:tcPr>
            <w:tcW w:w="1350" w:type="dxa"/>
            <w:noWrap/>
            <w:hideMark/>
          </w:tcPr>
          <w:p w14:paraId="27347DFC" w14:textId="3871E9D2"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3.7</w:t>
            </w:r>
          </w:p>
        </w:tc>
        <w:tc>
          <w:tcPr>
            <w:tcW w:w="1440" w:type="dxa"/>
            <w:noWrap/>
            <w:hideMark/>
          </w:tcPr>
          <w:p w14:paraId="23D1E27F" w14:textId="3F2D22EF"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0.73</w:t>
            </w:r>
          </w:p>
        </w:tc>
        <w:tc>
          <w:tcPr>
            <w:tcW w:w="1260" w:type="dxa"/>
            <w:noWrap/>
            <w:hideMark/>
          </w:tcPr>
          <w:p w14:paraId="45EAF395" w14:textId="43CFD164"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151</w:t>
            </w:r>
          </w:p>
        </w:tc>
      </w:tr>
      <w:tr w:rsidR="00B11C49" w:rsidRPr="00272B82" w14:paraId="1D5FD8F4" w14:textId="77777777" w:rsidTr="006E0D06">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0" w:type="dxa"/>
            <w:noWrap/>
            <w:hideMark/>
          </w:tcPr>
          <w:p w14:paraId="3A218DEE" w14:textId="1FAD65CF" w:rsidR="00BA27E0" w:rsidRPr="00EB2E52" w:rsidRDefault="00BA27E0" w:rsidP="00EB2E52">
            <w:pPr>
              <w:jc w:val="center"/>
              <w:rPr>
                <w:rFonts w:asciiTheme="majorHAnsi" w:hAnsiTheme="majorHAnsi" w:cstheme="majorHAnsi"/>
                <w:sz w:val="20"/>
                <w:szCs w:val="20"/>
              </w:rPr>
            </w:pPr>
            <w:r>
              <w:rPr>
                <w:rFonts w:asciiTheme="majorHAnsi" w:hAnsiTheme="majorHAnsi" w:cstheme="majorHAnsi"/>
                <w:sz w:val="20"/>
                <w:szCs w:val="20"/>
              </w:rPr>
              <w:t>COBB_</w:t>
            </w:r>
            <w:r w:rsidRPr="00EB2E52">
              <w:rPr>
                <w:rFonts w:asciiTheme="majorHAnsi" w:hAnsiTheme="majorHAnsi" w:cstheme="majorHAnsi"/>
                <w:sz w:val="20"/>
                <w:szCs w:val="20"/>
              </w:rPr>
              <w:t>VME</w:t>
            </w:r>
            <w:r>
              <w:rPr>
                <w:rFonts w:asciiTheme="majorHAnsi" w:hAnsiTheme="majorHAnsi" w:cstheme="majorHAnsi"/>
                <w:sz w:val="20"/>
                <w:szCs w:val="20"/>
              </w:rPr>
              <w:t>-</w:t>
            </w:r>
            <w:r w:rsidRPr="00EB2E52">
              <w:rPr>
                <w:rFonts w:asciiTheme="majorHAnsi" w:hAnsiTheme="majorHAnsi" w:cstheme="majorHAnsi"/>
                <w:sz w:val="20"/>
                <w:szCs w:val="20"/>
              </w:rPr>
              <w:t>C</w:t>
            </w:r>
          </w:p>
        </w:tc>
        <w:tc>
          <w:tcPr>
            <w:tcW w:w="0" w:type="dxa"/>
          </w:tcPr>
          <w:p w14:paraId="651C6384" w14:textId="7EC410DD" w:rsidR="00BA27E0" w:rsidRDefault="00BA27E0" w:rsidP="00BA27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AUV-4</w:t>
            </w:r>
          </w:p>
        </w:tc>
        <w:tc>
          <w:tcPr>
            <w:tcW w:w="0" w:type="dxa"/>
          </w:tcPr>
          <w:p w14:paraId="59AD843D" w14:textId="139563A5" w:rsidR="00BA27E0" w:rsidRPr="007A7581" w:rsidRDefault="00BA27E0" w:rsidP="00BA27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2023</w:t>
            </w:r>
          </w:p>
        </w:tc>
        <w:tc>
          <w:tcPr>
            <w:tcW w:w="0" w:type="dxa"/>
            <w:noWrap/>
            <w:hideMark/>
          </w:tcPr>
          <w:p w14:paraId="4A1D5787" w14:textId="08B1F8ED"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805</w:t>
            </w:r>
          </w:p>
        </w:tc>
        <w:tc>
          <w:tcPr>
            <w:tcW w:w="1350" w:type="dxa"/>
            <w:noWrap/>
            <w:hideMark/>
          </w:tcPr>
          <w:p w14:paraId="62B3A34B" w14:textId="4F0439F5"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8.0</w:t>
            </w:r>
          </w:p>
        </w:tc>
        <w:tc>
          <w:tcPr>
            <w:tcW w:w="0" w:type="dxa"/>
            <w:noWrap/>
            <w:hideMark/>
          </w:tcPr>
          <w:p w14:paraId="208C5881" w14:textId="7C73710B"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0.68</w:t>
            </w:r>
          </w:p>
        </w:tc>
        <w:tc>
          <w:tcPr>
            <w:tcW w:w="0" w:type="dxa"/>
            <w:noWrap/>
            <w:hideMark/>
          </w:tcPr>
          <w:p w14:paraId="432C01B0" w14:textId="252B2F2D"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51</w:t>
            </w:r>
          </w:p>
        </w:tc>
      </w:tr>
      <w:tr w:rsidR="00B11C49" w:rsidRPr="00272B82" w14:paraId="5690DA33" w14:textId="77777777" w:rsidTr="00B11C49">
        <w:trPr>
          <w:trHeight w:hRule="exact" w:val="360"/>
        </w:trPr>
        <w:tc>
          <w:tcPr>
            <w:cnfStyle w:val="001000000000" w:firstRow="0" w:lastRow="0" w:firstColumn="1" w:lastColumn="0" w:oddVBand="0" w:evenVBand="0" w:oddHBand="0" w:evenHBand="0" w:firstRowFirstColumn="0" w:firstRowLastColumn="0" w:lastRowFirstColumn="0" w:lastRowLastColumn="0"/>
            <w:tcW w:w="1620" w:type="dxa"/>
            <w:noWrap/>
            <w:hideMark/>
          </w:tcPr>
          <w:p w14:paraId="46AADDDD" w14:textId="0B598385" w:rsidR="00BA27E0" w:rsidRPr="00EB2E52" w:rsidRDefault="00BA27E0" w:rsidP="00EB2E52">
            <w:pPr>
              <w:jc w:val="center"/>
              <w:rPr>
                <w:rFonts w:asciiTheme="majorHAnsi" w:hAnsiTheme="majorHAnsi" w:cstheme="majorHAnsi"/>
                <w:sz w:val="20"/>
                <w:szCs w:val="20"/>
              </w:rPr>
            </w:pPr>
            <w:r>
              <w:rPr>
                <w:rFonts w:asciiTheme="majorHAnsi" w:hAnsiTheme="majorHAnsi" w:cstheme="majorHAnsi"/>
                <w:sz w:val="20"/>
                <w:szCs w:val="20"/>
              </w:rPr>
              <w:t>COBB_</w:t>
            </w:r>
            <w:r w:rsidRPr="00EB2E52">
              <w:rPr>
                <w:rFonts w:asciiTheme="majorHAnsi" w:hAnsiTheme="majorHAnsi" w:cstheme="majorHAnsi"/>
                <w:sz w:val="20"/>
                <w:szCs w:val="20"/>
              </w:rPr>
              <w:t>VME</w:t>
            </w:r>
            <w:r>
              <w:rPr>
                <w:rFonts w:asciiTheme="majorHAnsi" w:hAnsiTheme="majorHAnsi" w:cstheme="majorHAnsi"/>
                <w:sz w:val="20"/>
                <w:szCs w:val="20"/>
              </w:rPr>
              <w:t>-</w:t>
            </w:r>
            <w:r w:rsidRPr="00EB2E52">
              <w:rPr>
                <w:rFonts w:asciiTheme="majorHAnsi" w:hAnsiTheme="majorHAnsi" w:cstheme="majorHAnsi"/>
                <w:sz w:val="20"/>
                <w:szCs w:val="20"/>
              </w:rPr>
              <w:t>D</w:t>
            </w:r>
          </w:p>
        </w:tc>
        <w:tc>
          <w:tcPr>
            <w:tcW w:w="1080" w:type="dxa"/>
          </w:tcPr>
          <w:p w14:paraId="143F3EA1" w14:textId="2633557A" w:rsidR="00BA27E0" w:rsidRDefault="00BA27E0" w:rsidP="00BA27E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AUV-4</w:t>
            </w:r>
          </w:p>
        </w:tc>
        <w:tc>
          <w:tcPr>
            <w:tcW w:w="1350" w:type="dxa"/>
          </w:tcPr>
          <w:p w14:paraId="4FC15BAF" w14:textId="1ECC0742" w:rsidR="00BA27E0" w:rsidRPr="007A7581" w:rsidRDefault="00BA27E0" w:rsidP="00BA27E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2023</w:t>
            </w:r>
          </w:p>
        </w:tc>
        <w:tc>
          <w:tcPr>
            <w:tcW w:w="1260" w:type="dxa"/>
            <w:noWrap/>
            <w:hideMark/>
          </w:tcPr>
          <w:p w14:paraId="5241419F" w14:textId="5009D2EE"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512</w:t>
            </w:r>
          </w:p>
        </w:tc>
        <w:tc>
          <w:tcPr>
            <w:tcW w:w="1350" w:type="dxa"/>
            <w:noWrap/>
            <w:hideMark/>
          </w:tcPr>
          <w:p w14:paraId="2C7F57B7" w14:textId="462885D7"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7.0</w:t>
            </w:r>
          </w:p>
        </w:tc>
        <w:tc>
          <w:tcPr>
            <w:tcW w:w="1440" w:type="dxa"/>
            <w:noWrap/>
            <w:hideMark/>
          </w:tcPr>
          <w:p w14:paraId="2C54D0FD" w14:textId="50DCE7FD"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0.60</w:t>
            </w:r>
          </w:p>
        </w:tc>
        <w:tc>
          <w:tcPr>
            <w:tcW w:w="1260" w:type="dxa"/>
            <w:noWrap/>
            <w:hideMark/>
          </w:tcPr>
          <w:p w14:paraId="4CE234A7" w14:textId="1B340A8E"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52</w:t>
            </w:r>
          </w:p>
        </w:tc>
      </w:tr>
      <w:tr w:rsidR="00B11C49" w:rsidRPr="00272B82" w14:paraId="644A2FE7" w14:textId="77777777" w:rsidTr="006E0D06">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0" w:type="dxa"/>
            <w:noWrap/>
            <w:hideMark/>
          </w:tcPr>
          <w:p w14:paraId="0F1E0796" w14:textId="39DCB723" w:rsidR="00BA27E0" w:rsidRPr="00EB2E52" w:rsidRDefault="00BA27E0" w:rsidP="00EB2E52">
            <w:pPr>
              <w:jc w:val="center"/>
              <w:rPr>
                <w:rFonts w:asciiTheme="majorHAnsi" w:hAnsiTheme="majorHAnsi" w:cstheme="majorHAnsi"/>
                <w:sz w:val="20"/>
                <w:szCs w:val="20"/>
              </w:rPr>
            </w:pPr>
            <w:r>
              <w:rPr>
                <w:rFonts w:asciiTheme="majorHAnsi" w:hAnsiTheme="majorHAnsi" w:cstheme="majorHAnsi"/>
                <w:sz w:val="20"/>
                <w:szCs w:val="20"/>
              </w:rPr>
              <w:t>COBB_</w:t>
            </w:r>
            <w:r w:rsidRPr="00EB2E52">
              <w:rPr>
                <w:rFonts w:asciiTheme="majorHAnsi" w:hAnsiTheme="majorHAnsi" w:cstheme="majorHAnsi"/>
                <w:sz w:val="20"/>
                <w:szCs w:val="20"/>
              </w:rPr>
              <w:t>VME</w:t>
            </w:r>
            <w:r>
              <w:rPr>
                <w:rFonts w:asciiTheme="majorHAnsi" w:hAnsiTheme="majorHAnsi" w:cstheme="majorHAnsi"/>
                <w:sz w:val="20"/>
                <w:szCs w:val="20"/>
              </w:rPr>
              <w:t>-</w:t>
            </w:r>
            <w:r w:rsidRPr="00EB2E52">
              <w:rPr>
                <w:rFonts w:asciiTheme="majorHAnsi" w:hAnsiTheme="majorHAnsi" w:cstheme="majorHAnsi"/>
                <w:sz w:val="20"/>
                <w:szCs w:val="20"/>
              </w:rPr>
              <w:t>E</w:t>
            </w:r>
          </w:p>
        </w:tc>
        <w:tc>
          <w:tcPr>
            <w:tcW w:w="0" w:type="dxa"/>
          </w:tcPr>
          <w:p w14:paraId="33786E25" w14:textId="54C64BCF" w:rsidR="00BA27E0" w:rsidRDefault="00BA27E0" w:rsidP="00BA27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AUV-2</w:t>
            </w:r>
          </w:p>
        </w:tc>
        <w:tc>
          <w:tcPr>
            <w:tcW w:w="0" w:type="dxa"/>
          </w:tcPr>
          <w:p w14:paraId="59764B19" w14:textId="3C05541B" w:rsidR="00BA27E0" w:rsidRPr="007A7581" w:rsidRDefault="00BA27E0" w:rsidP="00BA27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2023</w:t>
            </w:r>
          </w:p>
        </w:tc>
        <w:tc>
          <w:tcPr>
            <w:tcW w:w="0" w:type="dxa"/>
            <w:noWrap/>
            <w:hideMark/>
          </w:tcPr>
          <w:p w14:paraId="71EFF911" w14:textId="170393BC"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692</w:t>
            </w:r>
          </w:p>
        </w:tc>
        <w:tc>
          <w:tcPr>
            <w:tcW w:w="1350" w:type="dxa"/>
            <w:noWrap/>
            <w:hideMark/>
          </w:tcPr>
          <w:p w14:paraId="1E32EA14" w14:textId="7B6AEB1B"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6.0</w:t>
            </w:r>
          </w:p>
        </w:tc>
        <w:tc>
          <w:tcPr>
            <w:tcW w:w="0" w:type="dxa"/>
            <w:noWrap/>
            <w:hideMark/>
          </w:tcPr>
          <w:p w14:paraId="224AC022" w14:textId="34A4164B"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0.74</w:t>
            </w:r>
          </w:p>
        </w:tc>
        <w:tc>
          <w:tcPr>
            <w:tcW w:w="0" w:type="dxa"/>
            <w:noWrap/>
            <w:hideMark/>
          </w:tcPr>
          <w:p w14:paraId="28B99B0A" w14:textId="1D7855B1"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52</w:t>
            </w:r>
          </w:p>
        </w:tc>
      </w:tr>
      <w:tr w:rsidR="00B11C49" w:rsidRPr="00272B82" w14:paraId="1D6B78EE" w14:textId="77777777" w:rsidTr="00B11C49">
        <w:trPr>
          <w:trHeight w:hRule="exact" w:val="360"/>
        </w:trPr>
        <w:tc>
          <w:tcPr>
            <w:cnfStyle w:val="001000000000" w:firstRow="0" w:lastRow="0" w:firstColumn="1" w:lastColumn="0" w:oddVBand="0" w:evenVBand="0" w:oddHBand="0" w:evenHBand="0" w:firstRowFirstColumn="0" w:firstRowLastColumn="0" w:lastRowFirstColumn="0" w:lastRowLastColumn="0"/>
            <w:tcW w:w="1620" w:type="dxa"/>
            <w:noWrap/>
            <w:hideMark/>
          </w:tcPr>
          <w:p w14:paraId="1B012648" w14:textId="34695C1E" w:rsidR="00BA27E0" w:rsidRPr="00EB2E52" w:rsidRDefault="00BA27E0" w:rsidP="00EB2E52">
            <w:pPr>
              <w:jc w:val="center"/>
              <w:rPr>
                <w:rFonts w:asciiTheme="majorHAnsi" w:hAnsiTheme="majorHAnsi" w:cstheme="majorHAnsi"/>
                <w:sz w:val="20"/>
                <w:szCs w:val="20"/>
              </w:rPr>
            </w:pPr>
            <w:r>
              <w:rPr>
                <w:rFonts w:asciiTheme="majorHAnsi" w:hAnsiTheme="majorHAnsi" w:cstheme="majorHAnsi"/>
                <w:sz w:val="20"/>
                <w:szCs w:val="20"/>
              </w:rPr>
              <w:t>COBB_</w:t>
            </w:r>
            <w:r w:rsidRPr="00EB2E52">
              <w:rPr>
                <w:rFonts w:asciiTheme="majorHAnsi" w:hAnsiTheme="majorHAnsi" w:cstheme="majorHAnsi"/>
                <w:sz w:val="20"/>
                <w:szCs w:val="20"/>
              </w:rPr>
              <w:t>VME</w:t>
            </w:r>
            <w:r>
              <w:rPr>
                <w:rFonts w:asciiTheme="majorHAnsi" w:hAnsiTheme="majorHAnsi" w:cstheme="majorHAnsi"/>
                <w:sz w:val="20"/>
                <w:szCs w:val="20"/>
              </w:rPr>
              <w:t>-</w:t>
            </w:r>
            <w:r w:rsidRPr="00EB2E52">
              <w:rPr>
                <w:rFonts w:asciiTheme="majorHAnsi" w:hAnsiTheme="majorHAnsi" w:cstheme="majorHAnsi"/>
                <w:sz w:val="20"/>
                <w:szCs w:val="20"/>
              </w:rPr>
              <w:t>F</w:t>
            </w:r>
          </w:p>
        </w:tc>
        <w:tc>
          <w:tcPr>
            <w:tcW w:w="1080" w:type="dxa"/>
          </w:tcPr>
          <w:p w14:paraId="3D96D35D" w14:textId="326B40D6" w:rsidR="00BA27E0" w:rsidRDefault="00A94688" w:rsidP="00BA27E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AUV-5</w:t>
            </w:r>
          </w:p>
        </w:tc>
        <w:tc>
          <w:tcPr>
            <w:tcW w:w="1350" w:type="dxa"/>
          </w:tcPr>
          <w:p w14:paraId="1B51755A" w14:textId="0BC5C803" w:rsidR="00BA27E0" w:rsidRPr="007A7581" w:rsidRDefault="00BA27E0" w:rsidP="00BA27E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2025</w:t>
            </w:r>
          </w:p>
        </w:tc>
        <w:tc>
          <w:tcPr>
            <w:tcW w:w="1260" w:type="dxa"/>
            <w:noWrap/>
            <w:hideMark/>
          </w:tcPr>
          <w:p w14:paraId="56BD312F" w14:textId="207A20F2"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815</w:t>
            </w:r>
          </w:p>
        </w:tc>
        <w:tc>
          <w:tcPr>
            <w:tcW w:w="1350" w:type="dxa"/>
            <w:noWrap/>
            <w:hideMark/>
          </w:tcPr>
          <w:p w14:paraId="3314CDB6" w14:textId="46BD0CF1"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7.0</w:t>
            </w:r>
          </w:p>
        </w:tc>
        <w:tc>
          <w:tcPr>
            <w:tcW w:w="1440" w:type="dxa"/>
            <w:noWrap/>
            <w:hideMark/>
          </w:tcPr>
          <w:p w14:paraId="40249FB3" w14:textId="76CD62B5"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0.62</w:t>
            </w:r>
          </w:p>
        </w:tc>
        <w:tc>
          <w:tcPr>
            <w:tcW w:w="1260" w:type="dxa"/>
            <w:noWrap/>
            <w:hideMark/>
          </w:tcPr>
          <w:p w14:paraId="580F7509" w14:textId="7E0ADF73"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51</w:t>
            </w:r>
          </w:p>
        </w:tc>
      </w:tr>
      <w:tr w:rsidR="00B11C49" w:rsidRPr="00272B82" w14:paraId="4F0E65E2" w14:textId="77777777" w:rsidTr="006E0D06">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0" w:type="dxa"/>
            <w:noWrap/>
            <w:hideMark/>
          </w:tcPr>
          <w:p w14:paraId="24419613" w14:textId="7EAA7B2E" w:rsidR="00BA27E0" w:rsidRPr="00EB2E52" w:rsidRDefault="00BA27E0" w:rsidP="00EB2E52">
            <w:pPr>
              <w:jc w:val="center"/>
              <w:rPr>
                <w:rFonts w:asciiTheme="majorHAnsi" w:hAnsiTheme="majorHAnsi" w:cstheme="majorHAnsi"/>
                <w:sz w:val="20"/>
                <w:szCs w:val="20"/>
              </w:rPr>
            </w:pPr>
            <w:r>
              <w:rPr>
                <w:rFonts w:asciiTheme="majorHAnsi" w:hAnsiTheme="majorHAnsi" w:cstheme="majorHAnsi"/>
                <w:sz w:val="20"/>
                <w:szCs w:val="20"/>
              </w:rPr>
              <w:t>COBB_</w:t>
            </w:r>
            <w:r w:rsidRPr="00EB2E52">
              <w:rPr>
                <w:rFonts w:asciiTheme="majorHAnsi" w:hAnsiTheme="majorHAnsi" w:cstheme="majorHAnsi"/>
                <w:sz w:val="20"/>
                <w:szCs w:val="20"/>
              </w:rPr>
              <w:t>VME</w:t>
            </w:r>
            <w:r>
              <w:rPr>
                <w:rFonts w:asciiTheme="majorHAnsi" w:hAnsiTheme="majorHAnsi" w:cstheme="majorHAnsi"/>
                <w:sz w:val="20"/>
                <w:szCs w:val="20"/>
              </w:rPr>
              <w:t>-</w:t>
            </w:r>
            <w:r w:rsidRPr="00EB2E52">
              <w:rPr>
                <w:rFonts w:asciiTheme="majorHAnsi" w:hAnsiTheme="majorHAnsi" w:cstheme="majorHAnsi"/>
                <w:sz w:val="20"/>
                <w:szCs w:val="20"/>
              </w:rPr>
              <w:t>G</w:t>
            </w:r>
          </w:p>
        </w:tc>
        <w:tc>
          <w:tcPr>
            <w:tcW w:w="0" w:type="dxa"/>
          </w:tcPr>
          <w:p w14:paraId="706521B1" w14:textId="26B38FB2" w:rsidR="00BA27E0" w:rsidRDefault="00BA27E0" w:rsidP="00BA27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AUV-4</w:t>
            </w:r>
          </w:p>
        </w:tc>
        <w:tc>
          <w:tcPr>
            <w:tcW w:w="0" w:type="dxa"/>
          </w:tcPr>
          <w:p w14:paraId="62150A37" w14:textId="3C179969" w:rsidR="00BA27E0" w:rsidRPr="007A7581" w:rsidRDefault="00BA27E0" w:rsidP="00BA27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2025</w:t>
            </w:r>
          </w:p>
        </w:tc>
        <w:tc>
          <w:tcPr>
            <w:tcW w:w="0" w:type="dxa"/>
            <w:noWrap/>
            <w:hideMark/>
          </w:tcPr>
          <w:p w14:paraId="0EF37850" w14:textId="1A85B86A"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8856</w:t>
            </w:r>
          </w:p>
        </w:tc>
        <w:tc>
          <w:tcPr>
            <w:tcW w:w="1350" w:type="dxa"/>
            <w:noWrap/>
            <w:hideMark/>
          </w:tcPr>
          <w:p w14:paraId="2D5B5F18" w14:textId="170F0888"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14.0</w:t>
            </w:r>
          </w:p>
        </w:tc>
        <w:tc>
          <w:tcPr>
            <w:tcW w:w="0" w:type="dxa"/>
            <w:noWrap/>
            <w:hideMark/>
          </w:tcPr>
          <w:p w14:paraId="255BF7E2" w14:textId="6170F63B"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0.60</w:t>
            </w:r>
          </w:p>
        </w:tc>
        <w:tc>
          <w:tcPr>
            <w:tcW w:w="0" w:type="dxa"/>
            <w:noWrap/>
            <w:hideMark/>
          </w:tcPr>
          <w:p w14:paraId="54415C9C" w14:textId="1FBD751D" w:rsidR="00BA27E0" w:rsidRPr="00EB2E52" w:rsidRDefault="00BA27E0" w:rsidP="00EB2E5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5</w:t>
            </w:r>
            <w:r w:rsidR="002C55FF">
              <w:rPr>
                <w:rFonts w:asciiTheme="majorHAnsi" w:hAnsiTheme="majorHAnsi" w:cstheme="majorHAnsi"/>
                <w:sz w:val="20"/>
                <w:szCs w:val="20"/>
              </w:rPr>
              <w:t>1</w:t>
            </w:r>
          </w:p>
        </w:tc>
      </w:tr>
      <w:tr w:rsidR="00B11C49" w:rsidRPr="00272B82" w14:paraId="6C40EFDB" w14:textId="77777777" w:rsidTr="00B11C49">
        <w:trPr>
          <w:trHeight w:hRule="exact" w:val="360"/>
        </w:trPr>
        <w:tc>
          <w:tcPr>
            <w:cnfStyle w:val="001000000000" w:firstRow="0" w:lastRow="0" w:firstColumn="1" w:lastColumn="0" w:oddVBand="0" w:evenVBand="0" w:oddHBand="0" w:evenHBand="0" w:firstRowFirstColumn="0" w:firstRowLastColumn="0" w:lastRowFirstColumn="0" w:lastRowLastColumn="0"/>
            <w:tcW w:w="1620" w:type="dxa"/>
            <w:noWrap/>
            <w:hideMark/>
          </w:tcPr>
          <w:p w14:paraId="782077FF" w14:textId="64736592" w:rsidR="00BA27E0" w:rsidRPr="00EB2E52" w:rsidRDefault="00BA27E0" w:rsidP="00EB2E52">
            <w:pPr>
              <w:jc w:val="center"/>
              <w:rPr>
                <w:rFonts w:asciiTheme="majorHAnsi" w:hAnsiTheme="majorHAnsi" w:cstheme="majorHAnsi"/>
                <w:sz w:val="20"/>
                <w:szCs w:val="20"/>
              </w:rPr>
            </w:pPr>
            <w:r>
              <w:rPr>
                <w:rFonts w:asciiTheme="majorHAnsi" w:hAnsiTheme="majorHAnsi" w:cstheme="majorHAnsi"/>
                <w:sz w:val="20"/>
                <w:szCs w:val="20"/>
              </w:rPr>
              <w:t>COBB_</w:t>
            </w:r>
            <w:r w:rsidRPr="00EB2E52">
              <w:rPr>
                <w:rFonts w:asciiTheme="majorHAnsi" w:hAnsiTheme="majorHAnsi" w:cstheme="majorHAnsi"/>
                <w:sz w:val="20"/>
                <w:szCs w:val="20"/>
              </w:rPr>
              <w:t>VME</w:t>
            </w:r>
            <w:r>
              <w:rPr>
                <w:rFonts w:asciiTheme="majorHAnsi" w:hAnsiTheme="majorHAnsi" w:cstheme="majorHAnsi"/>
                <w:sz w:val="20"/>
                <w:szCs w:val="20"/>
              </w:rPr>
              <w:t>-</w:t>
            </w:r>
            <w:r w:rsidRPr="00EB2E52">
              <w:rPr>
                <w:rFonts w:asciiTheme="majorHAnsi" w:hAnsiTheme="majorHAnsi" w:cstheme="majorHAnsi"/>
                <w:sz w:val="20"/>
                <w:szCs w:val="20"/>
              </w:rPr>
              <w:t>H</w:t>
            </w:r>
          </w:p>
        </w:tc>
        <w:tc>
          <w:tcPr>
            <w:tcW w:w="1080" w:type="dxa"/>
          </w:tcPr>
          <w:p w14:paraId="3B5F2C54" w14:textId="61D392A4" w:rsidR="00BA27E0" w:rsidRDefault="00BA27E0" w:rsidP="00BA27E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AUV-4</w:t>
            </w:r>
          </w:p>
        </w:tc>
        <w:tc>
          <w:tcPr>
            <w:tcW w:w="1350" w:type="dxa"/>
          </w:tcPr>
          <w:p w14:paraId="52815FC3" w14:textId="367ED932" w:rsidR="00BA27E0" w:rsidRPr="007A7581" w:rsidRDefault="00BA27E0" w:rsidP="00BA27E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2025</w:t>
            </w:r>
          </w:p>
        </w:tc>
        <w:tc>
          <w:tcPr>
            <w:tcW w:w="1260" w:type="dxa"/>
            <w:noWrap/>
            <w:hideMark/>
          </w:tcPr>
          <w:p w14:paraId="2707AF2B" w14:textId="2BCF8D7B"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864</w:t>
            </w:r>
          </w:p>
        </w:tc>
        <w:tc>
          <w:tcPr>
            <w:tcW w:w="1350" w:type="dxa"/>
            <w:noWrap/>
            <w:hideMark/>
          </w:tcPr>
          <w:p w14:paraId="6CD7C61B" w14:textId="72CC8CF2"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10.0</w:t>
            </w:r>
          </w:p>
        </w:tc>
        <w:tc>
          <w:tcPr>
            <w:tcW w:w="1440" w:type="dxa"/>
            <w:noWrap/>
            <w:hideMark/>
          </w:tcPr>
          <w:p w14:paraId="2CD7F092" w14:textId="47B00093"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0.66</w:t>
            </w:r>
          </w:p>
        </w:tc>
        <w:tc>
          <w:tcPr>
            <w:tcW w:w="1260" w:type="dxa"/>
            <w:noWrap/>
            <w:hideMark/>
          </w:tcPr>
          <w:p w14:paraId="7334E721" w14:textId="058B8BFC" w:rsidR="00BA27E0" w:rsidRPr="00EB2E52" w:rsidRDefault="00BA27E0" w:rsidP="00EB2E5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B2E52">
              <w:rPr>
                <w:rFonts w:asciiTheme="majorHAnsi" w:hAnsiTheme="majorHAnsi" w:cstheme="majorHAnsi"/>
                <w:sz w:val="20"/>
                <w:szCs w:val="20"/>
              </w:rPr>
              <w:t>5</w:t>
            </w:r>
            <w:r w:rsidR="002C55FF">
              <w:rPr>
                <w:rFonts w:asciiTheme="majorHAnsi" w:hAnsiTheme="majorHAnsi" w:cstheme="majorHAnsi"/>
                <w:sz w:val="20"/>
                <w:szCs w:val="20"/>
              </w:rPr>
              <w:t>2</w:t>
            </w:r>
          </w:p>
        </w:tc>
      </w:tr>
    </w:tbl>
    <w:p w14:paraId="648F1459" w14:textId="77777777" w:rsidR="00BD4E6B" w:rsidRPr="00B634C7" w:rsidRDefault="00BD4E6B" w:rsidP="00542A18">
      <w:pPr>
        <w:rPr>
          <w:rFonts w:asciiTheme="majorHAnsi" w:hAnsiTheme="majorHAnsi" w:cstheme="majorHAnsi"/>
          <w:szCs w:val="24"/>
          <w:highlight w:val="green"/>
        </w:rPr>
      </w:pPr>
    </w:p>
    <w:p w14:paraId="493151D8" w14:textId="77777777" w:rsidR="00CD1356" w:rsidRPr="00467004" w:rsidRDefault="00CD1356" w:rsidP="00542A18">
      <w:pPr>
        <w:rPr>
          <w:rFonts w:asciiTheme="majorHAnsi" w:hAnsiTheme="majorHAnsi" w:cstheme="majorHAnsi"/>
          <w:i/>
          <w:iCs/>
          <w:sz w:val="22"/>
          <w:highlight w:val="yellow"/>
        </w:rPr>
      </w:pPr>
    </w:p>
    <w:p w14:paraId="7FBAA09C" w14:textId="73A7F4B4" w:rsidR="00CD1356" w:rsidRPr="001E0853" w:rsidRDefault="00CD1356" w:rsidP="00CD1356">
      <w:pPr>
        <w:rPr>
          <w:rFonts w:asciiTheme="majorHAnsi" w:hAnsiTheme="majorHAnsi" w:cstheme="majorHAnsi"/>
          <w:i/>
          <w:iCs/>
          <w:sz w:val="22"/>
        </w:rPr>
      </w:pPr>
      <w:r w:rsidRPr="001E0853">
        <w:rPr>
          <w:rFonts w:asciiTheme="majorHAnsi" w:hAnsiTheme="majorHAnsi" w:cstheme="majorHAnsi"/>
          <w:i/>
          <w:iCs/>
          <w:sz w:val="22"/>
        </w:rPr>
        <w:t>Figure 3. VMEs identified on Cobb Seamount on transect AUV 4 (a)</w:t>
      </w:r>
      <w:r w:rsidR="00843F53" w:rsidRPr="001E0853">
        <w:rPr>
          <w:rFonts w:asciiTheme="majorHAnsi" w:hAnsiTheme="majorHAnsi" w:cstheme="majorHAnsi"/>
          <w:i/>
          <w:iCs/>
          <w:sz w:val="22"/>
        </w:rPr>
        <w:t>,</w:t>
      </w:r>
      <w:r w:rsidRPr="001E0853">
        <w:rPr>
          <w:rFonts w:asciiTheme="majorHAnsi" w:hAnsiTheme="majorHAnsi" w:cstheme="majorHAnsi"/>
          <w:i/>
          <w:iCs/>
          <w:sz w:val="22"/>
        </w:rPr>
        <w:t xml:space="preserve"> AUV 2 (b)</w:t>
      </w:r>
      <w:r w:rsidR="00843F53" w:rsidRPr="001E0853">
        <w:rPr>
          <w:rFonts w:asciiTheme="majorHAnsi" w:hAnsiTheme="majorHAnsi" w:cstheme="majorHAnsi"/>
          <w:i/>
          <w:iCs/>
          <w:sz w:val="22"/>
        </w:rPr>
        <w:t>, and AUV 5</w:t>
      </w:r>
      <w:r w:rsidR="002D4AC7" w:rsidRPr="001E0853">
        <w:rPr>
          <w:rFonts w:asciiTheme="majorHAnsi" w:hAnsiTheme="majorHAnsi" w:cstheme="majorHAnsi"/>
          <w:i/>
          <w:iCs/>
          <w:sz w:val="22"/>
        </w:rPr>
        <w:t xml:space="preserve"> (</w:t>
      </w:r>
      <w:r w:rsidR="00166C46" w:rsidRPr="001E0853">
        <w:rPr>
          <w:rFonts w:asciiTheme="majorHAnsi" w:hAnsiTheme="majorHAnsi" w:cstheme="majorHAnsi"/>
          <w:i/>
          <w:iCs/>
          <w:sz w:val="22"/>
        </w:rPr>
        <w:t>c)</w:t>
      </w:r>
      <w:r w:rsidRPr="001E0853">
        <w:rPr>
          <w:rFonts w:asciiTheme="majorHAnsi" w:hAnsiTheme="majorHAnsi" w:cstheme="majorHAnsi"/>
          <w:i/>
          <w:iCs/>
          <w:sz w:val="22"/>
        </w:rPr>
        <w:t>.</w:t>
      </w:r>
      <w:r w:rsidR="003775E9" w:rsidRPr="001E0853">
        <w:rPr>
          <w:rFonts w:asciiTheme="majorHAnsi" w:hAnsiTheme="majorHAnsi" w:cstheme="majorHAnsi"/>
          <w:i/>
          <w:iCs/>
          <w:sz w:val="22"/>
        </w:rPr>
        <w:t xml:space="preserve"> No VMEs have been identified on transect AUV 1</w:t>
      </w:r>
      <w:r w:rsidR="006E0D06">
        <w:rPr>
          <w:rFonts w:asciiTheme="majorHAnsi" w:hAnsiTheme="majorHAnsi" w:cstheme="majorHAnsi"/>
          <w:i/>
          <w:iCs/>
          <w:sz w:val="22"/>
        </w:rPr>
        <w:t xml:space="preserve"> </w:t>
      </w:r>
      <w:r w:rsidR="00B26FA6">
        <w:rPr>
          <w:rFonts w:asciiTheme="majorHAnsi" w:hAnsiTheme="majorHAnsi" w:cstheme="majorHAnsi"/>
          <w:i/>
          <w:iCs/>
          <w:sz w:val="22"/>
        </w:rPr>
        <w:t>(d)</w:t>
      </w:r>
      <w:r w:rsidR="003775E9" w:rsidRPr="001E0853">
        <w:rPr>
          <w:rFonts w:asciiTheme="majorHAnsi" w:hAnsiTheme="majorHAnsi" w:cstheme="majorHAnsi"/>
          <w:i/>
          <w:iCs/>
          <w:sz w:val="22"/>
        </w:rPr>
        <w:t xml:space="preserve"> to date. </w:t>
      </w:r>
      <w:r w:rsidRPr="001E0853">
        <w:rPr>
          <w:rFonts w:asciiTheme="majorHAnsi" w:hAnsiTheme="majorHAnsi" w:cstheme="majorHAnsi"/>
          <w:i/>
          <w:iCs/>
          <w:sz w:val="22"/>
        </w:rPr>
        <w:t>Yellow boxes surround spatially adjacent transect segments (black dots) grouped into VME areas ranging in size from 50 – 200 m</w:t>
      </w:r>
      <w:r w:rsidRPr="001E0853">
        <w:rPr>
          <w:rFonts w:asciiTheme="majorHAnsi" w:hAnsiTheme="majorHAnsi" w:cstheme="majorHAnsi"/>
          <w:i/>
          <w:iCs/>
          <w:sz w:val="22"/>
          <w:vertAlign w:val="superscript"/>
        </w:rPr>
        <w:t>2</w:t>
      </w:r>
      <w:r w:rsidRPr="001E0853">
        <w:rPr>
          <w:rFonts w:asciiTheme="majorHAnsi" w:hAnsiTheme="majorHAnsi" w:cstheme="majorHAnsi"/>
          <w:i/>
          <w:iCs/>
          <w:sz w:val="22"/>
        </w:rPr>
        <w:t>. White lines are 100 m depth contour lines and grey lines are AUV transect lines (see Curtis et al. 2015).</w:t>
      </w:r>
    </w:p>
    <w:p w14:paraId="0893CEC5" w14:textId="152720D3" w:rsidR="00C90BD9" w:rsidRPr="00467004" w:rsidRDefault="00545654" w:rsidP="006E0D06">
      <w:pPr>
        <w:jc w:val="center"/>
        <w:rPr>
          <w:rFonts w:asciiTheme="majorHAnsi" w:hAnsiTheme="majorHAnsi" w:cstheme="majorHAnsi"/>
          <w:i/>
          <w:iCs/>
          <w:sz w:val="22"/>
          <w:highlight w:val="yellow"/>
        </w:rPr>
      </w:pPr>
      <w:r>
        <w:rPr>
          <w:rFonts w:asciiTheme="majorHAnsi" w:hAnsiTheme="majorHAnsi" w:cstheme="majorHAnsi"/>
          <w:i/>
          <w:iCs/>
          <w:noProof/>
          <w:sz w:val="22"/>
          <w:highlight w:val="yellow"/>
        </w:rPr>
        <w:drawing>
          <wp:inline distT="0" distB="0" distL="0" distR="0" wp14:anchorId="1CC844BA" wp14:editId="0B3A5D75">
            <wp:extent cx="3166281" cy="3713960"/>
            <wp:effectExtent l="0" t="0" r="0" b="1270"/>
            <wp:docPr id="20410562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25145" r="26849"/>
                    <a:stretch/>
                  </pic:blipFill>
                  <pic:spPr bwMode="auto">
                    <a:xfrm>
                      <a:off x="0" y="0"/>
                      <a:ext cx="3171955" cy="3720615"/>
                    </a:xfrm>
                    <a:prstGeom prst="rect">
                      <a:avLst/>
                    </a:prstGeom>
                    <a:noFill/>
                    <a:ln>
                      <a:noFill/>
                    </a:ln>
                    <a:extLst>
                      <a:ext uri="{53640926-AAD7-44D8-BBD7-CCE9431645EC}">
                        <a14:shadowObscured xmlns:a14="http://schemas.microsoft.com/office/drawing/2010/main"/>
                      </a:ext>
                    </a:extLst>
                  </pic:spPr>
                </pic:pic>
              </a:graphicData>
            </a:graphic>
          </wp:inline>
        </w:drawing>
      </w:r>
    </w:p>
    <w:p w14:paraId="3FA03A48" w14:textId="77777777" w:rsidR="00EB2E52" w:rsidRDefault="00EB2E52" w:rsidP="00C90BD9">
      <w:pPr>
        <w:rPr>
          <w:rFonts w:asciiTheme="majorHAnsi" w:hAnsiTheme="majorHAnsi" w:cstheme="majorHAnsi"/>
          <w:b/>
          <w:bCs/>
          <w:i/>
          <w:iCs/>
          <w:sz w:val="22"/>
          <w:highlight w:val="green"/>
        </w:rPr>
      </w:pPr>
    </w:p>
    <w:p w14:paraId="0F4F57C9" w14:textId="77777777" w:rsidR="00EB2E52" w:rsidRDefault="00EB2E52" w:rsidP="00C90BD9">
      <w:pPr>
        <w:rPr>
          <w:rFonts w:asciiTheme="majorHAnsi" w:hAnsiTheme="majorHAnsi" w:cstheme="majorHAnsi"/>
          <w:b/>
          <w:bCs/>
          <w:i/>
          <w:iCs/>
          <w:sz w:val="22"/>
          <w:highlight w:val="green"/>
        </w:rPr>
      </w:pPr>
    </w:p>
    <w:p w14:paraId="4C87B8F3" w14:textId="177ADCB0" w:rsidR="00C90BD9" w:rsidRPr="006E0D06" w:rsidRDefault="00C90BD9" w:rsidP="00C90BD9">
      <w:pPr>
        <w:rPr>
          <w:rFonts w:asciiTheme="majorHAnsi" w:hAnsiTheme="majorHAnsi" w:cstheme="majorHAnsi"/>
          <w:sz w:val="22"/>
        </w:rPr>
      </w:pPr>
    </w:p>
    <w:p w14:paraId="69A31A7B" w14:textId="45925C24" w:rsidR="00467004" w:rsidRPr="00173137" w:rsidRDefault="00467004" w:rsidP="00467004">
      <w:pPr>
        <w:rPr>
          <w:rFonts w:asciiTheme="majorHAnsi" w:hAnsiTheme="majorHAnsi" w:cstheme="majorHAnsi"/>
          <w:b/>
          <w:bCs/>
          <w:sz w:val="22"/>
        </w:rPr>
      </w:pPr>
      <w:r w:rsidRPr="00173137">
        <w:rPr>
          <w:rFonts w:asciiTheme="majorHAnsi" w:hAnsiTheme="majorHAnsi" w:cstheme="majorHAnsi"/>
          <w:b/>
          <w:bCs/>
          <w:sz w:val="22"/>
        </w:rPr>
        <w:lastRenderedPageBreak/>
        <w:t xml:space="preserve">CONCLUSION </w:t>
      </w:r>
    </w:p>
    <w:p w14:paraId="313BD32D" w14:textId="093C9525" w:rsidR="00467004" w:rsidRPr="00173137" w:rsidRDefault="00467004" w:rsidP="00467004">
      <w:pPr>
        <w:rPr>
          <w:rFonts w:asciiTheme="majorHAnsi" w:hAnsiTheme="majorHAnsi" w:cstheme="majorHAnsi"/>
          <w:sz w:val="22"/>
        </w:rPr>
      </w:pPr>
      <w:r w:rsidRPr="00173137">
        <w:rPr>
          <w:rFonts w:asciiTheme="majorHAnsi" w:hAnsiTheme="majorHAnsi" w:cstheme="majorHAnsi"/>
          <w:sz w:val="22"/>
        </w:rPr>
        <w:t xml:space="preserve">We identify </w:t>
      </w:r>
      <w:r w:rsidR="00143AD0" w:rsidRPr="00173137">
        <w:rPr>
          <w:rFonts w:asciiTheme="majorHAnsi" w:hAnsiTheme="majorHAnsi" w:cstheme="majorHAnsi"/>
          <w:sz w:val="22"/>
        </w:rPr>
        <w:t>three new</w:t>
      </w:r>
      <w:r w:rsidRPr="00173137">
        <w:rPr>
          <w:rFonts w:asciiTheme="majorHAnsi" w:hAnsiTheme="majorHAnsi" w:cstheme="majorHAnsi"/>
          <w:sz w:val="22"/>
        </w:rPr>
        <w:t xml:space="preserve"> 50</w:t>
      </w:r>
      <w:r w:rsidR="00967855" w:rsidRPr="00173137">
        <w:rPr>
          <w:rFonts w:asciiTheme="majorHAnsi" w:hAnsiTheme="majorHAnsi" w:cstheme="majorHAnsi"/>
          <w:sz w:val="22"/>
        </w:rPr>
        <w:t xml:space="preserve"> </w:t>
      </w:r>
      <w:r w:rsidRPr="00173137">
        <w:rPr>
          <w:rFonts w:asciiTheme="majorHAnsi" w:hAnsiTheme="majorHAnsi" w:cstheme="majorHAnsi"/>
          <w:sz w:val="22"/>
        </w:rPr>
        <w:t>m</w:t>
      </w:r>
      <w:r w:rsidRPr="00173137">
        <w:rPr>
          <w:rFonts w:asciiTheme="majorHAnsi" w:hAnsiTheme="majorHAnsi" w:cstheme="majorHAnsi"/>
          <w:sz w:val="22"/>
          <w:vertAlign w:val="superscript"/>
        </w:rPr>
        <w:t>2</w:t>
      </w:r>
      <w:r w:rsidRPr="00173137">
        <w:rPr>
          <w:rFonts w:asciiTheme="majorHAnsi" w:hAnsiTheme="majorHAnsi" w:cstheme="majorHAnsi"/>
          <w:sz w:val="22"/>
        </w:rPr>
        <w:t xml:space="preserve"> areas as VMEs on Cobb Seamount based on the visual surveys with NOAA’s AUV </w:t>
      </w:r>
      <w:r w:rsidR="00967855" w:rsidRPr="00173137">
        <w:rPr>
          <w:rFonts w:asciiTheme="majorHAnsi" w:hAnsiTheme="majorHAnsi" w:cstheme="majorHAnsi"/>
          <w:sz w:val="22"/>
        </w:rPr>
        <w:t>(</w:t>
      </w:r>
      <w:r w:rsidRPr="00173137">
        <w:rPr>
          <w:rFonts w:asciiTheme="majorHAnsi" w:hAnsiTheme="majorHAnsi" w:cstheme="majorHAnsi"/>
          <w:sz w:val="22"/>
        </w:rPr>
        <w:t>Curtis et al. 2015)</w:t>
      </w:r>
      <w:r w:rsidR="00967855" w:rsidRPr="00173137">
        <w:rPr>
          <w:rFonts w:asciiTheme="majorHAnsi" w:hAnsiTheme="majorHAnsi" w:cstheme="majorHAnsi"/>
          <w:sz w:val="22"/>
        </w:rPr>
        <w:t xml:space="preserve"> using the methodology of </w:t>
      </w:r>
      <w:r w:rsidR="00967855" w:rsidRPr="004C6D02">
        <w:rPr>
          <w:rFonts w:asciiTheme="majorHAnsi" w:hAnsiTheme="majorHAnsi" w:cstheme="majorHAnsi"/>
          <w:sz w:val="22"/>
        </w:rPr>
        <w:t>Warawa et al. (2023)</w:t>
      </w:r>
      <w:r w:rsidRPr="004C6D02">
        <w:rPr>
          <w:rFonts w:asciiTheme="majorHAnsi" w:hAnsiTheme="majorHAnsi" w:cstheme="majorHAnsi"/>
          <w:sz w:val="22"/>
        </w:rPr>
        <w:t xml:space="preserve">. </w:t>
      </w:r>
    </w:p>
    <w:p w14:paraId="614FDA35" w14:textId="77777777" w:rsidR="00467004" w:rsidRPr="00173137" w:rsidRDefault="00467004" w:rsidP="00467004">
      <w:pPr>
        <w:rPr>
          <w:rFonts w:asciiTheme="majorHAnsi" w:hAnsiTheme="majorHAnsi" w:cstheme="majorHAnsi"/>
          <w:sz w:val="22"/>
        </w:rPr>
      </w:pPr>
    </w:p>
    <w:p w14:paraId="5F212DCD" w14:textId="3593D9D5" w:rsidR="00467004" w:rsidRPr="00173137" w:rsidRDefault="00467004" w:rsidP="00467004">
      <w:pPr>
        <w:rPr>
          <w:rFonts w:asciiTheme="majorHAnsi" w:hAnsiTheme="majorHAnsi" w:cstheme="majorHAnsi"/>
          <w:sz w:val="22"/>
        </w:rPr>
      </w:pPr>
      <w:r w:rsidRPr="00173137">
        <w:rPr>
          <w:rFonts w:asciiTheme="majorHAnsi" w:hAnsiTheme="majorHAnsi" w:cstheme="majorHAnsi"/>
          <w:sz w:val="22"/>
        </w:rPr>
        <w:t xml:space="preserve">Relatively few studies have attempted to quantify a threshold of either habitat suitability or abundance that qualifies a site as a VME, presenting a significant challenge for generating effective spatial management from modeling results. The </w:t>
      </w:r>
      <w:r w:rsidR="00967855" w:rsidRPr="00173137">
        <w:rPr>
          <w:rFonts w:asciiTheme="majorHAnsi" w:hAnsiTheme="majorHAnsi" w:cstheme="majorHAnsi"/>
          <w:sz w:val="22"/>
        </w:rPr>
        <w:t xml:space="preserve">updated </w:t>
      </w:r>
      <w:r w:rsidRPr="00173137">
        <w:rPr>
          <w:rFonts w:asciiTheme="majorHAnsi" w:hAnsiTheme="majorHAnsi" w:cstheme="majorHAnsi"/>
          <w:sz w:val="22"/>
        </w:rPr>
        <w:t>threshold we calculated (average of 0.</w:t>
      </w:r>
      <w:r w:rsidR="00967855" w:rsidRPr="00173137">
        <w:rPr>
          <w:rFonts w:asciiTheme="majorHAnsi" w:hAnsiTheme="majorHAnsi" w:cstheme="majorHAnsi"/>
          <w:sz w:val="22"/>
        </w:rPr>
        <w:t>58</w:t>
      </w:r>
      <w:r w:rsidRPr="00173137">
        <w:rPr>
          <w:rFonts w:asciiTheme="majorHAnsi" w:hAnsiTheme="majorHAnsi" w:cstheme="majorHAnsi"/>
          <w:sz w:val="22"/>
        </w:rPr>
        <w:t xml:space="preserve"> m</w:t>
      </w:r>
      <w:r w:rsidRPr="00173137">
        <w:rPr>
          <w:rFonts w:asciiTheme="majorHAnsi" w:hAnsiTheme="majorHAnsi" w:cstheme="majorHAnsi"/>
          <w:sz w:val="22"/>
          <w:vertAlign w:val="superscript"/>
        </w:rPr>
        <w:t>-2</w:t>
      </w:r>
      <w:r w:rsidRPr="00173137">
        <w:rPr>
          <w:rFonts w:asciiTheme="majorHAnsi" w:hAnsiTheme="majorHAnsi" w:cstheme="majorHAnsi"/>
          <w:sz w:val="22"/>
        </w:rPr>
        <w:t>, 95% CI range of 0.5</w:t>
      </w:r>
      <w:r w:rsidR="00C7531F" w:rsidRPr="00173137">
        <w:rPr>
          <w:rFonts w:asciiTheme="majorHAnsi" w:hAnsiTheme="majorHAnsi" w:cstheme="majorHAnsi"/>
          <w:sz w:val="22"/>
        </w:rPr>
        <w:t>3</w:t>
      </w:r>
      <w:r w:rsidRPr="00173137">
        <w:rPr>
          <w:rFonts w:asciiTheme="majorHAnsi" w:hAnsiTheme="majorHAnsi" w:cstheme="majorHAnsi"/>
          <w:sz w:val="22"/>
        </w:rPr>
        <w:t>-0.</w:t>
      </w:r>
      <w:r w:rsidR="00C7531F" w:rsidRPr="00173137">
        <w:rPr>
          <w:rFonts w:asciiTheme="majorHAnsi" w:hAnsiTheme="majorHAnsi" w:cstheme="majorHAnsi"/>
          <w:sz w:val="22"/>
        </w:rPr>
        <w:t>63</w:t>
      </w:r>
      <w:r w:rsidRPr="00173137">
        <w:rPr>
          <w:rFonts w:asciiTheme="majorHAnsi" w:hAnsiTheme="majorHAnsi" w:cstheme="majorHAnsi"/>
          <w:sz w:val="22"/>
        </w:rPr>
        <w:t xml:space="preserve">) is a reasonable estimate based on comparison </w:t>
      </w:r>
      <w:r w:rsidR="009F36E8" w:rsidRPr="00173137">
        <w:rPr>
          <w:rFonts w:asciiTheme="majorHAnsi" w:hAnsiTheme="majorHAnsi" w:cstheme="majorHAnsi"/>
          <w:sz w:val="22"/>
        </w:rPr>
        <w:t>with</w:t>
      </w:r>
      <w:r w:rsidRPr="00173137">
        <w:rPr>
          <w:rFonts w:asciiTheme="majorHAnsi" w:hAnsiTheme="majorHAnsi" w:cstheme="majorHAnsi"/>
          <w:sz w:val="22"/>
        </w:rPr>
        <w:t xml:space="preserve"> Rowden et al. </w:t>
      </w:r>
      <w:r w:rsidR="009F36E8" w:rsidRPr="00173137">
        <w:rPr>
          <w:rFonts w:asciiTheme="majorHAnsi" w:hAnsiTheme="majorHAnsi" w:cstheme="majorHAnsi"/>
          <w:sz w:val="22"/>
        </w:rPr>
        <w:t>(</w:t>
      </w:r>
      <w:r w:rsidRPr="00173137">
        <w:rPr>
          <w:rFonts w:asciiTheme="majorHAnsi" w:hAnsiTheme="majorHAnsi" w:cstheme="majorHAnsi"/>
          <w:sz w:val="22"/>
        </w:rPr>
        <w:t>2020,</w:t>
      </w:r>
      <w:r w:rsidR="009F36E8" w:rsidRPr="00173137">
        <w:rPr>
          <w:rFonts w:asciiTheme="majorHAnsi" w:hAnsiTheme="majorHAnsi" w:cstheme="majorHAnsi"/>
          <w:sz w:val="22"/>
        </w:rPr>
        <w:t>)</w:t>
      </w:r>
      <w:r w:rsidRPr="00173137">
        <w:rPr>
          <w:rFonts w:asciiTheme="majorHAnsi" w:hAnsiTheme="majorHAnsi" w:cstheme="majorHAnsi"/>
          <w:sz w:val="22"/>
        </w:rPr>
        <w:t xml:space="preserve">, as well as a decision flow chart derived from expert opinion (Baco et al. 2023). </w:t>
      </w:r>
    </w:p>
    <w:p w14:paraId="0022A239" w14:textId="77777777" w:rsidR="002D7A6B" w:rsidRDefault="002D7A6B" w:rsidP="00467004">
      <w:pPr>
        <w:rPr>
          <w:rFonts w:asciiTheme="majorHAnsi" w:hAnsiTheme="majorHAnsi" w:cstheme="majorHAnsi"/>
          <w:b/>
          <w:bCs/>
          <w:highlight w:val="yellow"/>
        </w:rPr>
      </w:pPr>
    </w:p>
    <w:p w14:paraId="16E7041E" w14:textId="7E9DA07C" w:rsidR="00467004" w:rsidRPr="00FB6993" w:rsidRDefault="00467004" w:rsidP="00467004">
      <w:pPr>
        <w:rPr>
          <w:rFonts w:asciiTheme="majorHAnsi" w:hAnsiTheme="majorHAnsi" w:cstheme="majorHAnsi"/>
          <w:b/>
          <w:bCs/>
        </w:rPr>
      </w:pPr>
      <w:r w:rsidRPr="00FB6993">
        <w:rPr>
          <w:rFonts w:asciiTheme="majorHAnsi" w:hAnsiTheme="majorHAnsi" w:cstheme="majorHAnsi"/>
          <w:b/>
          <w:bCs/>
        </w:rPr>
        <w:t xml:space="preserve">REFERENCES </w:t>
      </w:r>
    </w:p>
    <w:p w14:paraId="3795A2EE" w14:textId="77777777" w:rsidR="00467004" w:rsidRPr="00FD20B4" w:rsidRDefault="00467004" w:rsidP="00467004">
      <w:pPr>
        <w:ind w:left="720" w:hanging="720"/>
        <w:rPr>
          <w:rFonts w:asciiTheme="majorHAnsi" w:hAnsiTheme="majorHAnsi" w:cstheme="majorHAnsi"/>
        </w:rPr>
      </w:pPr>
      <w:r w:rsidRPr="00FD20B4">
        <w:rPr>
          <w:rFonts w:asciiTheme="majorHAnsi" w:hAnsiTheme="majorHAnsi" w:cstheme="majorHAnsi"/>
        </w:rPr>
        <w:t xml:space="preserve">Budinger TF. (1967) Cobb Seamount. Deep Sea Research and Oceanographic Abstracts 14(2): 191-201. </w:t>
      </w:r>
    </w:p>
    <w:p w14:paraId="02984880" w14:textId="77777777" w:rsidR="00467004" w:rsidRPr="001258D9" w:rsidRDefault="00467004" w:rsidP="00467004">
      <w:pPr>
        <w:ind w:left="720" w:hanging="720"/>
        <w:rPr>
          <w:rFonts w:asciiTheme="majorHAnsi" w:hAnsiTheme="majorHAnsi" w:cstheme="majorHAnsi"/>
        </w:rPr>
      </w:pPr>
      <w:r w:rsidRPr="001258D9">
        <w:rPr>
          <w:rFonts w:asciiTheme="majorHAnsi" w:hAnsiTheme="majorHAnsi" w:cstheme="majorHAnsi"/>
        </w:rPr>
        <w:t xml:space="preserve">Baco AR, et al. (2023) Towards a scientific community consensus on designating Vulnerable Marine Ecosystems from imagery. </w:t>
      </w:r>
      <w:proofErr w:type="spellStart"/>
      <w:r w:rsidRPr="001258D9">
        <w:rPr>
          <w:rFonts w:asciiTheme="majorHAnsi" w:hAnsiTheme="majorHAnsi" w:cstheme="majorHAnsi"/>
        </w:rPr>
        <w:t>PeerJ</w:t>
      </w:r>
      <w:proofErr w:type="spellEnd"/>
      <w:r w:rsidRPr="001258D9">
        <w:rPr>
          <w:rFonts w:asciiTheme="majorHAnsi" w:hAnsiTheme="majorHAnsi" w:cstheme="majorHAnsi"/>
        </w:rPr>
        <w:t xml:space="preserve"> 11: e16024. </w:t>
      </w:r>
    </w:p>
    <w:p w14:paraId="27220748" w14:textId="07161DF9" w:rsidR="00467004" w:rsidRPr="00FD20B4" w:rsidRDefault="00467004" w:rsidP="00467004">
      <w:pPr>
        <w:ind w:left="720" w:hanging="720"/>
        <w:rPr>
          <w:rFonts w:asciiTheme="majorHAnsi" w:hAnsiTheme="majorHAnsi" w:cstheme="majorHAnsi"/>
        </w:rPr>
      </w:pPr>
      <w:r w:rsidRPr="00FD20B4">
        <w:rPr>
          <w:rFonts w:asciiTheme="majorHAnsi" w:hAnsiTheme="majorHAnsi" w:cstheme="majorHAnsi"/>
        </w:rPr>
        <w:t xml:space="preserve">Costello, Mark J., and Chhaya Chaudhary. (2017) Marine biodiversity, biogeography, deep-sea gradients, and conservation. Current Biology 27.11: R511-R527. </w:t>
      </w:r>
    </w:p>
    <w:p w14:paraId="5F7E1226" w14:textId="6CE47D67" w:rsidR="00467004" w:rsidRPr="00FD20B4" w:rsidRDefault="00467004" w:rsidP="00467004">
      <w:pPr>
        <w:ind w:left="720" w:hanging="720"/>
        <w:rPr>
          <w:rFonts w:asciiTheme="majorHAnsi" w:hAnsiTheme="majorHAnsi" w:cstheme="majorHAnsi"/>
        </w:rPr>
      </w:pPr>
      <w:r w:rsidRPr="00FD20B4">
        <w:rPr>
          <w:rFonts w:asciiTheme="majorHAnsi" w:hAnsiTheme="majorHAnsi" w:cstheme="majorHAnsi"/>
        </w:rPr>
        <w:t xml:space="preserve">Curtis JMR, Du Preez C, Davies SC, Pegg J, Clarke ME, Fruh EL, Morgan K, Gauthier S, Gatien G, and Carolsfeld W (2015). 2012 Expedition to Cobb Seamount: Survey methods, data collections, and species observations. Canadian Technical Report of Fisheries and Aquatic Sciences, 3124: xii + 145 p. </w:t>
      </w:r>
    </w:p>
    <w:p w14:paraId="028B271B" w14:textId="1DB3B3C1" w:rsidR="00467004" w:rsidRPr="00FD20B4" w:rsidRDefault="00467004" w:rsidP="00467004">
      <w:pPr>
        <w:ind w:left="720" w:hanging="720"/>
        <w:rPr>
          <w:rFonts w:asciiTheme="majorHAnsi" w:hAnsiTheme="majorHAnsi" w:cstheme="majorHAnsi"/>
        </w:rPr>
      </w:pPr>
      <w:r w:rsidRPr="00FD20B4">
        <w:rPr>
          <w:rFonts w:asciiTheme="majorHAnsi" w:hAnsiTheme="majorHAnsi" w:cstheme="majorHAnsi"/>
        </w:rPr>
        <w:t xml:space="preserve">Davies AJ, and </w:t>
      </w:r>
      <w:proofErr w:type="spellStart"/>
      <w:r w:rsidRPr="00FD20B4">
        <w:rPr>
          <w:rFonts w:asciiTheme="majorHAnsi" w:hAnsiTheme="majorHAnsi" w:cstheme="majorHAnsi"/>
        </w:rPr>
        <w:t>Guinotte</w:t>
      </w:r>
      <w:proofErr w:type="spellEnd"/>
      <w:r w:rsidRPr="00FD20B4">
        <w:rPr>
          <w:rFonts w:asciiTheme="majorHAnsi" w:hAnsiTheme="majorHAnsi" w:cstheme="majorHAnsi"/>
        </w:rPr>
        <w:t xml:space="preserve"> JM. (2011). Global habitat suitability for framework-forming cold-water corals. </w:t>
      </w:r>
      <w:proofErr w:type="spellStart"/>
      <w:r w:rsidRPr="00FD20B4">
        <w:rPr>
          <w:rFonts w:asciiTheme="majorHAnsi" w:hAnsiTheme="majorHAnsi" w:cstheme="majorHAnsi"/>
        </w:rPr>
        <w:t>PloS</w:t>
      </w:r>
      <w:proofErr w:type="spellEnd"/>
      <w:r w:rsidRPr="00FD20B4">
        <w:rPr>
          <w:rFonts w:asciiTheme="majorHAnsi" w:hAnsiTheme="majorHAnsi" w:cstheme="majorHAnsi"/>
        </w:rPr>
        <w:t xml:space="preserve"> one 6.4: e18483. </w:t>
      </w:r>
    </w:p>
    <w:p w14:paraId="2F67EE7B" w14:textId="34D235B9" w:rsidR="00467004" w:rsidRPr="00FD20B4" w:rsidRDefault="00467004" w:rsidP="00467004">
      <w:pPr>
        <w:ind w:left="720" w:hanging="720"/>
        <w:rPr>
          <w:rFonts w:asciiTheme="majorHAnsi" w:hAnsiTheme="majorHAnsi" w:cstheme="majorHAnsi"/>
        </w:rPr>
      </w:pPr>
      <w:r w:rsidRPr="00FD20B4">
        <w:rPr>
          <w:rFonts w:asciiTheme="majorHAnsi" w:hAnsiTheme="majorHAnsi" w:cstheme="majorHAnsi"/>
        </w:rPr>
        <w:t xml:space="preserve">Food and Agriculture Organization [FAO] (2009). International Guidelines for the Management of Deep-sea Fisheries in the High Seas. Rome. </w:t>
      </w:r>
    </w:p>
    <w:p w14:paraId="4134BCF4" w14:textId="308627AB" w:rsidR="00467004" w:rsidRPr="00FD20B4" w:rsidRDefault="00467004" w:rsidP="00467004">
      <w:pPr>
        <w:ind w:left="720" w:hanging="720"/>
        <w:rPr>
          <w:rFonts w:asciiTheme="majorHAnsi" w:hAnsiTheme="majorHAnsi" w:cstheme="majorHAnsi"/>
        </w:rPr>
      </w:pPr>
      <w:r w:rsidRPr="00FD20B4">
        <w:rPr>
          <w:rFonts w:asciiTheme="majorHAnsi" w:hAnsiTheme="majorHAnsi" w:cstheme="majorHAnsi"/>
        </w:rPr>
        <w:t xml:space="preserve">Georgian SE, Shedd W, and Cordes EE. (2014) High-resolution ecological niche modelling of the cold-water coral </w:t>
      </w:r>
      <w:proofErr w:type="spellStart"/>
      <w:r w:rsidRPr="00FD20B4">
        <w:rPr>
          <w:rFonts w:asciiTheme="majorHAnsi" w:hAnsiTheme="majorHAnsi" w:cstheme="majorHAnsi"/>
          <w:i/>
          <w:iCs/>
        </w:rPr>
        <w:t>Lophelia</w:t>
      </w:r>
      <w:proofErr w:type="spellEnd"/>
      <w:r w:rsidRPr="00FD20B4">
        <w:rPr>
          <w:rFonts w:asciiTheme="majorHAnsi" w:hAnsiTheme="majorHAnsi" w:cstheme="majorHAnsi"/>
          <w:i/>
          <w:iCs/>
        </w:rPr>
        <w:t xml:space="preserve"> </w:t>
      </w:r>
      <w:proofErr w:type="spellStart"/>
      <w:r w:rsidRPr="00FD20B4">
        <w:rPr>
          <w:rFonts w:asciiTheme="majorHAnsi" w:hAnsiTheme="majorHAnsi" w:cstheme="majorHAnsi"/>
          <w:i/>
          <w:iCs/>
        </w:rPr>
        <w:t>pertusa</w:t>
      </w:r>
      <w:proofErr w:type="spellEnd"/>
      <w:r w:rsidRPr="00FD20B4">
        <w:rPr>
          <w:rFonts w:asciiTheme="majorHAnsi" w:hAnsiTheme="majorHAnsi" w:cstheme="majorHAnsi"/>
        </w:rPr>
        <w:t xml:space="preserve"> in the Gulf of Mexico. Marine Ecology Progress Series 506: 145-161. </w:t>
      </w:r>
    </w:p>
    <w:p w14:paraId="221E4799" w14:textId="60835D13" w:rsidR="00467004" w:rsidRPr="00DA08A2" w:rsidRDefault="00467004" w:rsidP="00467004">
      <w:pPr>
        <w:ind w:left="720" w:hanging="720"/>
        <w:rPr>
          <w:rFonts w:asciiTheme="majorHAnsi" w:hAnsiTheme="majorHAnsi" w:cstheme="majorHAnsi"/>
        </w:rPr>
      </w:pPr>
      <w:r w:rsidRPr="00DA08A2">
        <w:rPr>
          <w:rFonts w:asciiTheme="majorHAnsi" w:hAnsiTheme="majorHAnsi" w:cstheme="majorHAnsi"/>
        </w:rPr>
        <w:t xml:space="preserve">North Pacific Fisheries Commission [NPFC] (2023). 7th Meeting Report. NPFC-2023-COM07-Final Report. 1132 </w:t>
      </w:r>
      <w:proofErr w:type="gramStart"/>
      <w:r w:rsidRPr="00DA08A2">
        <w:rPr>
          <w:rFonts w:asciiTheme="majorHAnsi" w:hAnsiTheme="majorHAnsi" w:cstheme="majorHAnsi"/>
        </w:rPr>
        <w:t>pp</w:t>
      </w:r>
      <w:proofErr w:type="gramEnd"/>
      <w:r w:rsidRPr="00DA08A2">
        <w:rPr>
          <w:rFonts w:asciiTheme="majorHAnsi" w:hAnsiTheme="majorHAnsi" w:cstheme="majorHAnsi"/>
        </w:rPr>
        <w:t xml:space="preserve">. (Available at </w:t>
      </w:r>
      <w:hyperlink r:id="rId11" w:history="1">
        <w:r w:rsidR="00DA08A2" w:rsidRPr="00857E57">
          <w:rPr>
            <w:rStyle w:val="Hyperlink"/>
            <w:rFonts w:asciiTheme="majorHAnsi" w:hAnsiTheme="majorHAnsi" w:cstheme="majorHAnsi"/>
          </w:rPr>
          <w:t>www.npfc.int</w:t>
        </w:r>
      </w:hyperlink>
      <w:r w:rsidRPr="00DA08A2">
        <w:rPr>
          <w:rFonts w:asciiTheme="majorHAnsi" w:hAnsiTheme="majorHAnsi" w:cstheme="majorHAnsi"/>
        </w:rPr>
        <w:t xml:space="preserve">) </w:t>
      </w:r>
    </w:p>
    <w:p w14:paraId="5016B275" w14:textId="5491A7DE" w:rsidR="00335260" w:rsidRPr="00DA08A2" w:rsidRDefault="00335260" w:rsidP="00335260">
      <w:pPr>
        <w:ind w:left="720" w:hanging="720"/>
        <w:rPr>
          <w:rFonts w:asciiTheme="majorHAnsi" w:hAnsiTheme="majorHAnsi" w:cstheme="majorHAnsi"/>
        </w:rPr>
      </w:pPr>
      <w:r w:rsidRPr="00DA08A2">
        <w:rPr>
          <w:rFonts w:asciiTheme="majorHAnsi" w:hAnsiTheme="majorHAnsi" w:cstheme="majorHAnsi"/>
        </w:rPr>
        <w:t>North Pacific Fisheries Commission [NPFC] (202</w:t>
      </w:r>
      <w:r>
        <w:rPr>
          <w:rFonts w:asciiTheme="majorHAnsi" w:hAnsiTheme="majorHAnsi" w:cstheme="majorHAnsi"/>
        </w:rPr>
        <w:t>4</w:t>
      </w:r>
      <w:r w:rsidRPr="00DA08A2">
        <w:rPr>
          <w:rFonts w:asciiTheme="majorHAnsi" w:hAnsiTheme="majorHAnsi" w:cstheme="majorHAnsi"/>
        </w:rPr>
        <w:t xml:space="preserve">). </w:t>
      </w:r>
      <w:r>
        <w:rPr>
          <w:rFonts w:asciiTheme="majorHAnsi" w:hAnsiTheme="majorHAnsi" w:cstheme="majorHAnsi"/>
        </w:rPr>
        <w:t>8</w:t>
      </w:r>
      <w:r w:rsidRPr="00DA08A2">
        <w:rPr>
          <w:rFonts w:asciiTheme="majorHAnsi" w:hAnsiTheme="majorHAnsi" w:cstheme="majorHAnsi"/>
        </w:rPr>
        <w:t xml:space="preserve">th Meeting Report. NPFC-2023-COM07-Final Report. </w:t>
      </w:r>
      <w:r>
        <w:rPr>
          <w:rFonts w:asciiTheme="majorHAnsi" w:hAnsiTheme="majorHAnsi" w:cstheme="majorHAnsi"/>
        </w:rPr>
        <w:t>735</w:t>
      </w:r>
      <w:r w:rsidRPr="00DA08A2">
        <w:rPr>
          <w:rFonts w:asciiTheme="majorHAnsi" w:hAnsiTheme="majorHAnsi" w:cstheme="majorHAnsi"/>
        </w:rPr>
        <w:t xml:space="preserve"> </w:t>
      </w:r>
      <w:proofErr w:type="gramStart"/>
      <w:r w:rsidRPr="00DA08A2">
        <w:rPr>
          <w:rFonts w:asciiTheme="majorHAnsi" w:hAnsiTheme="majorHAnsi" w:cstheme="majorHAnsi"/>
        </w:rPr>
        <w:t>pp</w:t>
      </w:r>
      <w:proofErr w:type="gramEnd"/>
      <w:r w:rsidRPr="00DA08A2">
        <w:rPr>
          <w:rFonts w:asciiTheme="majorHAnsi" w:hAnsiTheme="majorHAnsi" w:cstheme="majorHAnsi"/>
        </w:rPr>
        <w:t xml:space="preserve">. (Available at </w:t>
      </w:r>
      <w:hyperlink r:id="rId12" w:history="1">
        <w:r w:rsidRPr="00857E57">
          <w:rPr>
            <w:rStyle w:val="Hyperlink"/>
            <w:rFonts w:asciiTheme="majorHAnsi" w:hAnsiTheme="majorHAnsi" w:cstheme="majorHAnsi"/>
          </w:rPr>
          <w:t>www.npfc.int</w:t>
        </w:r>
      </w:hyperlink>
      <w:r w:rsidRPr="00DA08A2">
        <w:rPr>
          <w:rFonts w:asciiTheme="majorHAnsi" w:hAnsiTheme="majorHAnsi" w:cstheme="majorHAnsi"/>
        </w:rPr>
        <w:t xml:space="preserve">) </w:t>
      </w:r>
    </w:p>
    <w:p w14:paraId="2A86C77E" w14:textId="77777777" w:rsidR="00EA7C34" w:rsidRDefault="00EA7C34" w:rsidP="00EA7C34">
      <w:pPr>
        <w:ind w:left="720" w:hanging="720"/>
        <w:rPr>
          <w:rFonts w:asciiTheme="majorHAnsi" w:hAnsiTheme="majorHAnsi" w:cstheme="majorHAnsi"/>
        </w:rPr>
      </w:pPr>
      <w:r w:rsidRPr="00DA08A2">
        <w:rPr>
          <w:rFonts w:asciiTheme="majorHAnsi" w:hAnsiTheme="majorHAnsi" w:cstheme="majorHAnsi"/>
        </w:rPr>
        <w:t xml:space="preserve">North Pacific Fisheries Commission [NPFC] (2025). Conservation and Management Measure (CMM) 2025-06 for Bottom Fisheries and Protection of Vulnerable Marine Ecosystems in the Northeastern Pacific Ocean. (Available at: </w:t>
      </w:r>
      <w:hyperlink r:id="rId13" w:history="1">
        <w:r w:rsidRPr="00DA08A2">
          <w:rPr>
            <w:rStyle w:val="Hyperlink"/>
            <w:rFonts w:asciiTheme="majorHAnsi" w:hAnsiTheme="majorHAnsi" w:cstheme="majorHAnsi"/>
          </w:rPr>
          <w:t>CMM 2025-06 For Bottom Fisheries and Protection of VMEs in the NE Pacific Ocean (Effective date: 10 July 2025) | NPFC</w:t>
        </w:r>
      </w:hyperlink>
      <w:r w:rsidRPr="00DA08A2">
        <w:rPr>
          <w:rFonts w:asciiTheme="majorHAnsi" w:hAnsiTheme="majorHAnsi" w:cstheme="majorHAnsi"/>
        </w:rPr>
        <w:t xml:space="preserve">) </w:t>
      </w:r>
    </w:p>
    <w:p w14:paraId="5F5AC720" w14:textId="77777777" w:rsidR="00C947D2" w:rsidRDefault="00C947D2">
      <w:pPr>
        <w:widowControl/>
        <w:jc w:val="left"/>
        <w:rPr>
          <w:rFonts w:asciiTheme="majorHAnsi" w:hAnsiTheme="majorHAnsi" w:cstheme="majorHAnsi"/>
        </w:rPr>
      </w:pPr>
      <w:r>
        <w:rPr>
          <w:rFonts w:asciiTheme="majorHAnsi" w:hAnsiTheme="majorHAnsi" w:cstheme="majorHAnsi"/>
        </w:rPr>
        <w:br w:type="page"/>
      </w:r>
    </w:p>
    <w:p w14:paraId="632D06A9" w14:textId="7710ECD6" w:rsidR="00EA7C34" w:rsidRPr="00714AAB" w:rsidRDefault="00EA7C34" w:rsidP="00EA7C34">
      <w:pPr>
        <w:ind w:left="720" w:hanging="720"/>
        <w:rPr>
          <w:rFonts w:asciiTheme="majorHAnsi" w:hAnsiTheme="majorHAnsi" w:cstheme="majorHAnsi"/>
        </w:rPr>
      </w:pPr>
      <w:r w:rsidRPr="00714AAB">
        <w:rPr>
          <w:rFonts w:asciiTheme="majorHAnsi" w:hAnsiTheme="majorHAnsi" w:cstheme="majorHAnsi"/>
        </w:rPr>
        <w:lastRenderedPageBreak/>
        <w:t xml:space="preserve">North Pacific Fisheries Commission Scientific Committee [NPFC-SC]. (2022) 7th Meeting Report. NPFC-2022-SC07-Final Report. 250 pp. (Available at </w:t>
      </w:r>
      <w:hyperlink r:id="rId14" w:history="1">
        <w:r w:rsidRPr="00857E57">
          <w:rPr>
            <w:rStyle w:val="Hyperlink"/>
            <w:rFonts w:asciiTheme="majorHAnsi" w:hAnsiTheme="majorHAnsi" w:cstheme="majorHAnsi"/>
          </w:rPr>
          <w:t>www.npfc.int</w:t>
        </w:r>
      </w:hyperlink>
      <w:r w:rsidRPr="00714AAB">
        <w:rPr>
          <w:rFonts w:asciiTheme="majorHAnsi" w:hAnsiTheme="majorHAnsi" w:cstheme="majorHAnsi"/>
        </w:rPr>
        <w:t xml:space="preserve">) </w:t>
      </w:r>
    </w:p>
    <w:p w14:paraId="7EAD884D" w14:textId="6ACF89F9" w:rsidR="00467004" w:rsidRPr="00DA08A2" w:rsidRDefault="00467004" w:rsidP="00467004">
      <w:pPr>
        <w:ind w:left="720" w:hanging="720"/>
        <w:rPr>
          <w:rFonts w:asciiTheme="majorHAnsi" w:hAnsiTheme="majorHAnsi" w:cstheme="majorHAnsi"/>
        </w:rPr>
      </w:pPr>
      <w:r w:rsidRPr="00DA08A2">
        <w:rPr>
          <w:rFonts w:asciiTheme="majorHAnsi" w:hAnsiTheme="majorHAnsi" w:cstheme="majorHAnsi"/>
        </w:rPr>
        <w:t xml:space="preserve">Parker T &amp; Tunnicliffe V. (1994). Dispersal strategies of the biota on an oceanic seamount: implications for ecology and biogeography. The Biological Bulletin, 187(3), 336-345. </w:t>
      </w:r>
    </w:p>
    <w:p w14:paraId="6252FC5D" w14:textId="3FEEEB85" w:rsidR="00467004" w:rsidRPr="00DA08A2" w:rsidRDefault="00467004" w:rsidP="00467004">
      <w:pPr>
        <w:ind w:left="720" w:hanging="720"/>
        <w:rPr>
          <w:rFonts w:asciiTheme="majorHAnsi" w:hAnsiTheme="majorHAnsi" w:cstheme="majorHAnsi"/>
        </w:rPr>
      </w:pPr>
      <w:r w:rsidRPr="00DA08A2">
        <w:rPr>
          <w:rFonts w:asciiTheme="majorHAnsi" w:hAnsiTheme="majorHAnsi" w:cstheme="majorHAnsi"/>
        </w:rPr>
        <w:t xml:space="preserve">Rowden AA, Pearman TRR, Bowden DA, Anderson OF, and Clark MR (2020). Determining coral density thresholds for identifying structurally complex vulnerable marine ecosystems in the deep sea. Frontiers in Marine Science, 7:95. </w:t>
      </w:r>
    </w:p>
    <w:p w14:paraId="24A86882" w14:textId="3D59AB5F" w:rsidR="00467004" w:rsidRPr="00DA08A2" w:rsidRDefault="00467004" w:rsidP="00467004">
      <w:pPr>
        <w:ind w:left="720" w:hanging="720"/>
        <w:rPr>
          <w:rFonts w:asciiTheme="majorHAnsi" w:hAnsiTheme="majorHAnsi" w:cstheme="majorHAnsi"/>
        </w:rPr>
      </w:pPr>
      <w:r w:rsidRPr="00DA08A2">
        <w:rPr>
          <w:rFonts w:asciiTheme="majorHAnsi" w:hAnsiTheme="majorHAnsi" w:cstheme="majorHAnsi"/>
        </w:rPr>
        <w:t xml:space="preserve">Warawa DR, Chu JWF, Rooper CN, Georgian S, Nephin J, Dudas S, Knudby A, Curtis JMR (2021). Using Predictive Habitat Models and Visual Surveys to Identify Vulnerable Marine Ecosystems on Seamounts in the North Pacific Fisheries Commission Convention Area NPFC-2021-SSC BFME02-WP05. (Available at: https://www.npfc.int/predictive-habitat-models-and-visual-surveys-identify-vulnerable-marine-ecosystems-seamounts-north) </w:t>
      </w:r>
    </w:p>
    <w:p w14:paraId="681F06AE" w14:textId="38CEEF47" w:rsidR="00467004" w:rsidRPr="00DA08A2" w:rsidRDefault="00467004" w:rsidP="00467004">
      <w:pPr>
        <w:ind w:left="720" w:hanging="720"/>
        <w:rPr>
          <w:rFonts w:asciiTheme="majorHAnsi" w:hAnsiTheme="majorHAnsi" w:cstheme="majorHAnsi"/>
          <w:i/>
          <w:iCs/>
        </w:rPr>
      </w:pPr>
      <w:r w:rsidRPr="00DA08A2">
        <w:rPr>
          <w:rFonts w:asciiTheme="majorHAnsi" w:hAnsiTheme="majorHAnsi" w:cstheme="majorHAnsi"/>
        </w:rPr>
        <w:t xml:space="preserve">Warawa DR, Chu JWF, Gasbarro R, Rooper CN, Georgian S, Nephin J, Dudas S, Knudby A, Curtis JMR (2022). Vulnerable Marine Ecosystems (VMEs) in the Northeast Part of the North Pacific Fisheries Commission Convention Area NPFC-2022-SSC BFME03-WP03. (Available at: </w:t>
      </w:r>
      <w:hyperlink r:id="rId15" w:history="1">
        <w:r w:rsidR="005B7389" w:rsidRPr="00DA08A2">
          <w:rPr>
            <w:rStyle w:val="Hyperlink"/>
            <w:rFonts w:asciiTheme="majorHAnsi" w:hAnsiTheme="majorHAnsi" w:cstheme="majorHAnsi"/>
          </w:rPr>
          <w:t>https://www.npfc.int/vulnerable-marine-ecosystems-vmes-northeast-part-north-pacific-fisheries-commission-convention-area</w:t>
        </w:r>
      </w:hyperlink>
      <w:r w:rsidRPr="00DA08A2">
        <w:rPr>
          <w:rFonts w:asciiTheme="majorHAnsi" w:hAnsiTheme="majorHAnsi" w:cstheme="majorHAnsi"/>
          <w:i/>
          <w:iCs/>
        </w:rPr>
        <w:t>)</w:t>
      </w:r>
    </w:p>
    <w:p w14:paraId="31492757" w14:textId="51656101" w:rsidR="005B7389" w:rsidRPr="00EA7C34" w:rsidRDefault="005B7389" w:rsidP="00EA7C34">
      <w:pPr>
        <w:ind w:left="360" w:hanging="360"/>
        <w:rPr>
          <w:rFonts w:asciiTheme="majorHAnsi" w:hAnsiTheme="majorHAnsi" w:cstheme="majorHAnsi"/>
        </w:rPr>
      </w:pPr>
      <w:r w:rsidRPr="005B7389">
        <w:rPr>
          <w:rFonts w:asciiTheme="majorHAnsi" w:hAnsiTheme="majorHAnsi" w:cstheme="majorHAnsi"/>
        </w:rPr>
        <w:t xml:space="preserve">Warawa DR, Rooper CN, Nephin J, Chu JWF, Dudas S, Knudby A, Georgian S, Curtis JMR. (2023). Identifying VMEs on Cobb Seamount using visual data NPFC-2023-SSC BFME04-WP13 (available at </w:t>
      </w:r>
      <w:hyperlink r:id="rId16" w:history="1">
        <w:r w:rsidRPr="005B7389">
          <w:rPr>
            <w:rStyle w:val="Hyperlink"/>
            <w:rFonts w:asciiTheme="majorHAnsi" w:hAnsiTheme="majorHAnsi" w:cstheme="majorHAnsi"/>
          </w:rPr>
          <w:t>NPFC-2023-SSC BFME04-WP13 Identifying VMEs on Cobb Seamount using visual data.pdf</w:t>
        </w:r>
      </w:hyperlink>
      <w:r w:rsidRPr="005B7389">
        <w:rPr>
          <w:rFonts w:asciiTheme="majorHAnsi" w:hAnsiTheme="majorHAnsi" w:cstheme="majorHAnsi"/>
        </w:rPr>
        <w:t>)</w:t>
      </w:r>
    </w:p>
    <w:sectPr w:rsidR="005B7389" w:rsidRPr="00EA7C34" w:rsidSect="00473456">
      <w:headerReference w:type="even" r:id="rId17"/>
      <w:footerReference w:type="default" r:id="rId18"/>
      <w:headerReference w:type="first" r:id="rId19"/>
      <w:footerReference w:type="first" r:id="rId20"/>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279EC" w14:textId="77777777" w:rsidR="001A1FAF" w:rsidRDefault="001A1FAF" w:rsidP="001E4075">
      <w:r>
        <w:separator/>
      </w:r>
    </w:p>
  </w:endnote>
  <w:endnote w:type="continuationSeparator" w:id="0">
    <w:p w14:paraId="320D368E" w14:textId="77777777" w:rsidR="001A1FAF" w:rsidRDefault="001A1FAF"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8"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uzKLlt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9"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6FcbHG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7280A7"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3892C" w14:textId="77777777" w:rsidR="001A1FAF" w:rsidRDefault="001A1FAF" w:rsidP="001E4075">
      <w:r>
        <w:separator/>
      </w:r>
    </w:p>
  </w:footnote>
  <w:footnote w:type="continuationSeparator" w:id="0">
    <w:p w14:paraId="0BD12A43" w14:textId="77777777" w:rsidR="001A1FAF" w:rsidRDefault="001A1FAF"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C7B6" w14:textId="58957846" w:rsidR="00EC10C3" w:rsidRDefault="00EC10C3">
    <w:pPr>
      <w:pStyle w:val="Header"/>
    </w:pPr>
    <w:r>
      <w:rPr>
        <w:noProof/>
      </w:rPr>
      <mc:AlternateContent>
        <mc:Choice Requires="wps">
          <w:drawing>
            <wp:anchor distT="0" distB="0" distL="0" distR="0" simplePos="0" relativeHeight="251667456" behindDoc="0" locked="0" layoutInCell="1" allowOverlap="1" wp14:anchorId="7933ED78" wp14:editId="4A627CE8">
              <wp:simplePos x="635" y="635"/>
              <wp:positionH relativeFrom="page">
                <wp:align>right</wp:align>
              </wp:positionH>
              <wp:positionV relativeFrom="page">
                <wp:align>top</wp:align>
              </wp:positionV>
              <wp:extent cx="1917700" cy="376555"/>
              <wp:effectExtent l="0" t="0" r="0" b="4445"/>
              <wp:wrapNone/>
              <wp:docPr id="571996111"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69DC0AD2" w14:textId="39980BF5" w:rsidR="00EC10C3" w:rsidRPr="00EC10C3" w:rsidRDefault="00EC10C3" w:rsidP="00EC10C3">
                          <w:pPr>
                            <w:rPr>
                              <w:rFonts w:ascii="Calibri" w:eastAsia="Calibri" w:hAnsi="Calibri" w:cs="Calibri"/>
                              <w:noProof/>
                              <w:color w:val="000000"/>
                              <w:szCs w:val="24"/>
                            </w:rPr>
                          </w:pPr>
                          <w:r w:rsidRPr="00EC10C3">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933ED78" id="_x0000_t202" coordsize="21600,21600" o:spt="202" path="m,l,21600r21600,l21600,xe">
              <v:stroke joinstyle="miter"/>
              <v:path gradientshapeok="t" o:connecttype="rect"/>
            </v:shapetype>
            <v:shape id="Text Box 2" o:spid="_x0000_s1026" type="#_x0000_t202" alt="Unclassified - Non-Classifié" style="position:absolute;left:0;text-align:left;margin-left:99.8pt;margin-top:0;width:151pt;height:29.65pt;z-index:25166745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69DC0AD2" w14:textId="39980BF5" w:rsidR="00EC10C3" w:rsidRPr="00EC10C3" w:rsidRDefault="00EC10C3" w:rsidP="00EC10C3">
                    <w:pPr>
                      <w:rPr>
                        <w:rFonts w:ascii="Calibri" w:eastAsia="Calibri" w:hAnsi="Calibri" w:cs="Calibri"/>
                        <w:noProof/>
                        <w:color w:val="000000"/>
                        <w:szCs w:val="24"/>
                      </w:rPr>
                    </w:pPr>
                    <w:r w:rsidRPr="00EC10C3">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46DC3D56"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0A29F9DE">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7"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436746973">
    <w:abstractNumId w:val="15"/>
  </w:num>
  <w:num w:numId="2" w16cid:durableId="1196430345">
    <w:abstractNumId w:val="6"/>
  </w:num>
  <w:num w:numId="3" w16cid:durableId="1001934446">
    <w:abstractNumId w:val="12"/>
  </w:num>
  <w:num w:numId="4" w16cid:durableId="865404464">
    <w:abstractNumId w:val="2"/>
  </w:num>
  <w:num w:numId="5" w16cid:durableId="1676685091">
    <w:abstractNumId w:val="4"/>
  </w:num>
  <w:num w:numId="6" w16cid:durableId="1650284173">
    <w:abstractNumId w:val="3"/>
  </w:num>
  <w:num w:numId="7" w16cid:durableId="1469783693">
    <w:abstractNumId w:val="10"/>
  </w:num>
  <w:num w:numId="8" w16cid:durableId="261844391">
    <w:abstractNumId w:val="9"/>
  </w:num>
  <w:num w:numId="9" w16cid:durableId="1565947241">
    <w:abstractNumId w:val="1"/>
  </w:num>
  <w:num w:numId="10" w16cid:durableId="1893153077">
    <w:abstractNumId w:val="0"/>
  </w:num>
  <w:num w:numId="11" w16cid:durableId="893271729">
    <w:abstractNumId w:val="7"/>
  </w:num>
  <w:num w:numId="12" w16cid:durableId="1023747899">
    <w:abstractNumId w:val="8"/>
  </w:num>
  <w:num w:numId="13" w16cid:durableId="448741764">
    <w:abstractNumId w:val="11"/>
  </w:num>
  <w:num w:numId="14" w16cid:durableId="1979262824">
    <w:abstractNumId w:val="14"/>
  </w:num>
  <w:num w:numId="15" w16cid:durableId="951397416">
    <w:abstractNumId w:val="16"/>
  </w:num>
  <w:num w:numId="16" w16cid:durableId="775562032">
    <w:abstractNumId w:val="13"/>
  </w:num>
  <w:num w:numId="17" w16cid:durableId="19518172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70D0"/>
    <w:rsid w:val="00024B05"/>
    <w:rsid w:val="00027A27"/>
    <w:rsid w:val="000357B3"/>
    <w:rsid w:val="00037CAA"/>
    <w:rsid w:val="00041374"/>
    <w:rsid w:val="00051EE5"/>
    <w:rsid w:val="0005251C"/>
    <w:rsid w:val="000529C5"/>
    <w:rsid w:val="00054FAC"/>
    <w:rsid w:val="0005577E"/>
    <w:rsid w:val="000704A8"/>
    <w:rsid w:val="000834EC"/>
    <w:rsid w:val="00091A0B"/>
    <w:rsid w:val="000B2BF8"/>
    <w:rsid w:val="000B4AD6"/>
    <w:rsid w:val="000D1AEF"/>
    <w:rsid w:val="000F6362"/>
    <w:rsid w:val="0010024F"/>
    <w:rsid w:val="00101045"/>
    <w:rsid w:val="001032F5"/>
    <w:rsid w:val="00105141"/>
    <w:rsid w:val="0012011D"/>
    <w:rsid w:val="00121F70"/>
    <w:rsid w:val="001258D9"/>
    <w:rsid w:val="0012771E"/>
    <w:rsid w:val="001304E5"/>
    <w:rsid w:val="00133824"/>
    <w:rsid w:val="00134EF3"/>
    <w:rsid w:val="00143AD0"/>
    <w:rsid w:val="00145822"/>
    <w:rsid w:val="001570D0"/>
    <w:rsid w:val="001625F3"/>
    <w:rsid w:val="00163CB7"/>
    <w:rsid w:val="0016564E"/>
    <w:rsid w:val="00166A4A"/>
    <w:rsid w:val="00166C46"/>
    <w:rsid w:val="00173137"/>
    <w:rsid w:val="00174B55"/>
    <w:rsid w:val="001761C1"/>
    <w:rsid w:val="001858A3"/>
    <w:rsid w:val="001901CC"/>
    <w:rsid w:val="00191234"/>
    <w:rsid w:val="00193A1F"/>
    <w:rsid w:val="00194A70"/>
    <w:rsid w:val="001A1FAF"/>
    <w:rsid w:val="001B0287"/>
    <w:rsid w:val="001B7C42"/>
    <w:rsid w:val="001E0853"/>
    <w:rsid w:val="001E0E77"/>
    <w:rsid w:val="001E4075"/>
    <w:rsid w:val="001E5FD1"/>
    <w:rsid w:val="001F2C3C"/>
    <w:rsid w:val="00203DF4"/>
    <w:rsid w:val="00211732"/>
    <w:rsid w:val="002170D9"/>
    <w:rsid w:val="00240AE1"/>
    <w:rsid w:val="00254CE4"/>
    <w:rsid w:val="00260E22"/>
    <w:rsid w:val="00261A2B"/>
    <w:rsid w:val="00272B82"/>
    <w:rsid w:val="00281B73"/>
    <w:rsid w:val="0029554A"/>
    <w:rsid w:val="00295B4F"/>
    <w:rsid w:val="0029754B"/>
    <w:rsid w:val="002A12A6"/>
    <w:rsid w:val="002C55FF"/>
    <w:rsid w:val="002D006C"/>
    <w:rsid w:val="002D092A"/>
    <w:rsid w:val="002D133B"/>
    <w:rsid w:val="002D4AC7"/>
    <w:rsid w:val="002D7A6B"/>
    <w:rsid w:val="002E6611"/>
    <w:rsid w:val="002F0598"/>
    <w:rsid w:val="003026AF"/>
    <w:rsid w:val="00302B41"/>
    <w:rsid w:val="003035D8"/>
    <w:rsid w:val="00312BCE"/>
    <w:rsid w:val="00314666"/>
    <w:rsid w:val="0031761D"/>
    <w:rsid w:val="00321065"/>
    <w:rsid w:val="003263BC"/>
    <w:rsid w:val="00335260"/>
    <w:rsid w:val="00335600"/>
    <w:rsid w:val="00335B8B"/>
    <w:rsid w:val="003375E3"/>
    <w:rsid w:val="00360282"/>
    <w:rsid w:val="00360AF4"/>
    <w:rsid w:val="003618C7"/>
    <w:rsid w:val="00367AB2"/>
    <w:rsid w:val="0037691D"/>
    <w:rsid w:val="003774FE"/>
    <w:rsid w:val="003775E9"/>
    <w:rsid w:val="003A2FCD"/>
    <w:rsid w:val="003A3ABD"/>
    <w:rsid w:val="003A6E7F"/>
    <w:rsid w:val="003B2C17"/>
    <w:rsid w:val="003C09B2"/>
    <w:rsid w:val="003C0C52"/>
    <w:rsid w:val="003C29AF"/>
    <w:rsid w:val="003C2F8A"/>
    <w:rsid w:val="003C3DEF"/>
    <w:rsid w:val="003C5EAC"/>
    <w:rsid w:val="003D041F"/>
    <w:rsid w:val="003E018F"/>
    <w:rsid w:val="00405666"/>
    <w:rsid w:val="00405745"/>
    <w:rsid w:val="00406572"/>
    <w:rsid w:val="00414EF3"/>
    <w:rsid w:val="00420F92"/>
    <w:rsid w:val="0042324B"/>
    <w:rsid w:val="00443D62"/>
    <w:rsid w:val="00446F32"/>
    <w:rsid w:val="0046235F"/>
    <w:rsid w:val="004653B4"/>
    <w:rsid w:val="00467004"/>
    <w:rsid w:val="00473456"/>
    <w:rsid w:val="0047355B"/>
    <w:rsid w:val="00473FAA"/>
    <w:rsid w:val="00483C8A"/>
    <w:rsid w:val="004B20B3"/>
    <w:rsid w:val="004B3FEA"/>
    <w:rsid w:val="004C030E"/>
    <w:rsid w:val="004C6D02"/>
    <w:rsid w:val="004F59AF"/>
    <w:rsid w:val="004F5D41"/>
    <w:rsid w:val="004F7F81"/>
    <w:rsid w:val="005137F8"/>
    <w:rsid w:val="005145D7"/>
    <w:rsid w:val="005171C1"/>
    <w:rsid w:val="00517896"/>
    <w:rsid w:val="00526162"/>
    <w:rsid w:val="005363DF"/>
    <w:rsid w:val="00542A18"/>
    <w:rsid w:val="00544511"/>
    <w:rsid w:val="00545654"/>
    <w:rsid w:val="00546F75"/>
    <w:rsid w:val="00551342"/>
    <w:rsid w:val="00552ACE"/>
    <w:rsid w:val="00554989"/>
    <w:rsid w:val="00555B8A"/>
    <w:rsid w:val="00556861"/>
    <w:rsid w:val="00565D47"/>
    <w:rsid w:val="00577519"/>
    <w:rsid w:val="00591EC0"/>
    <w:rsid w:val="005A0ECE"/>
    <w:rsid w:val="005A745B"/>
    <w:rsid w:val="005B7389"/>
    <w:rsid w:val="005C3C1B"/>
    <w:rsid w:val="005C72FB"/>
    <w:rsid w:val="005E2B60"/>
    <w:rsid w:val="005E58E7"/>
    <w:rsid w:val="005F4B0A"/>
    <w:rsid w:val="005F529E"/>
    <w:rsid w:val="00607FBC"/>
    <w:rsid w:val="006335E8"/>
    <w:rsid w:val="00637D20"/>
    <w:rsid w:val="006435A9"/>
    <w:rsid w:val="006454D3"/>
    <w:rsid w:val="006563AE"/>
    <w:rsid w:val="0066430C"/>
    <w:rsid w:val="006661BF"/>
    <w:rsid w:val="006703EB"/>
    <w:rsid w:val="006805D6"/>
    <w:rsid w:val="00686A29"/>
    <w:rsid w:val="0069240F"/>
    <w:rsid w:val="006A775B"/>
    <w:rsid w:val="006B086A"/>
    <w:rsid w:val="006B4F3E"/>
    <w:rsid w:val="006D5D85"/>
    <w:rsid w:val="006E0D06"/>
    <w:rsid w:val="006E6863"/>
    <w:rsid w:val="006F6384"/>
    <w:rsid w:val="00702A3B"/>
    <w:rsid w:val="00705440"/>
    <w:rsid w:val="00706704"/>
    <w:rsid w:val="00710CC4"/>
    <w:rsid w:val="007129B9"/>
    <w:rsid w:val="00712C20"/>
    <w:rsid w:val="00714AAB"/>
    <w:rsid w:val="00716A39"/>
    <w:rsid w:val="007172A9"/>
    <w:rsid w:val="007176E2"/>
    <w:rsid w:val="0074396C"/>
    <w:rsid w:val="00743AA1"/>
    <w:rsid w:val="007520B6"/>
    <w:rsid w:val="00752843"/>
    <w:rsid w:val="007543D8"/>
    <w:rsid w:val="00762BF6"/>
    <w:rsid w:val="007709F4"/>
    <w:rsid w:val="00770C12"/>
    <w:rsid w:val="00772DD1"/>
    <w:rsid w:val="007770CE"/>
    <w:rsid w:val="00792CFB"/>
    <w:rsid w:val="00797B8B"/>
    <w:rsid w:val="007A0BF5"/>
    <w:rsid w:val="007A7581"/>
    <w:rsid w:val="007B09F9"/>
    <w:rsid w:val="007B0EC6"/>
    <w:rsid w:val="007B5EEC"/>
    <w:rsid w:val="007D3D13"/>
    <w:rsid w:val="007D7149"/>
    <w:rsid w:val="007E2A71"/>
    <w:rsid w:val="007E50DD"/>
    <w:rsid w:val="007F17DA"/>
    <w:rsid w:val="007F4819"/>
    <w:rsid w:val="007F58CA"/>
    <w:rsid w:val="00803D24"/>
    <w:rsid w:val="00804BA7"/>
    <w:rsid w:val="00815417"/>
    <w:rsid w:val="00823E0A"/>
    <w:rsid w:val="00824B2F"/>
    <w:rsid w:val="00843F53"/>
    <w:rsid w:val="0085242C"/>
    <w:rsid w:val="0087214D"/>
    <w:rsid w:val="00876FD4"/>
    <w:rsid w:val="00880204"/>
    <w:rsid w:val="00880A8A"/>
    <w:rsid w:val="00882AA3"/>
    <w:rsid w:val="008832D9"/>
    <w:rsid w:val="008909E2"/>
    <w:rsid w:val="008A0AAA"/>
    <w:rsid w:val="008B501E"/>
    <w:rsid w:val="008C08D0"/>
    <w:rsid w:val="008C7310"/>
    <w:rsid w:val="009062D7"/>
    <w:rsid w:val="00921B21"/>
    <w:rsid w:val="00921C3E"/>
    <w:rsid w:val="00923FC6"/>
    <w:rsid w:val="00940BB4"/>
    <w:rsid w:val="00950929"/>
    <w:rsid w:val="009513CC"/>
    <w:rsid w:val="00952D36"/>
    <w:rsid w:val="00961A2E"/>
    <w:rsid w:val="00967855"/>
    <w:rsid w:val="009764CB"/>
    <w:rsid w:val="0098034E"/>
    <w:rsid w:val="00984E48"/>
    <w:rsid w:val="00985457"/>
    <w:rsid w:val="009906C5"/>
    <w:rsid w:val="009940EF"/>
    <w:rsid w:val="009B2F80"/>
    <w:rsid w:val="009B7D33"/>
    <w:rsid w:val="009C5E77"/>
    <w:rsid w:val="009D0AB7"/>
    <w:rsid w:val="009D1AF4"/>
    <w:rsid w:val="009D2089"/>
    <w:rsid w:val="009E00BA"/>
    <w:rsid w:val="009E44B4"/>
    <w:rsid w:val="009F36E8"/>
    <w:rsid w:val="009F460E"/>
    <w:rsid w:val="009F4D55"/>
    <w:rsid w:val="00A11092"/>
    <w:rsid w:val="00A12701"/>
    <w:rsid w:val="00A17943"/>
    <w:rsid w:val="00A31756"/>
    <w:rsid w:val="00A37CDC"/>
    <w:rsid w:val="00A423E7"/>
    <w:rsid w:val="00A55FC4"/>
    <w:rsid w:val="00A7704B"/>
    <w:rsid w:val="00A94688"/>
    <w:rsid w:val="00AA367E"/>
    <w:rsid w:val="00AA678F"/>
    <w:rsid w:val="00AB5C85"/>
    <w:rsid w:val="00AC6A21"/>
    <w:rsid w:val="00AC7C83"/>
    <w:rsid w:val="00AE03AC"/>
    <w:rsid w:val="00AE52F6"/>
    <w:rsid w:val="00AE770C"/>
    <w:rsid w:val="00B11C49"/>
    <w:rsid w:val="00B13E26"/>
    <w:rsid w:val="00B14F50"/>
    <w:rsid w:val="00B203A4"/>
    <w:rsid w:val="00B26FA6"/>
    <w:rsid w:val="00B352B9"/>
    <w:rsid w:val="00B40D7B"/>
    <w:rsid w:val="00B46C6B"/>
    <w:rsid w:val="00B634C7"/>
    <w:rsid w:val="00B640C8"/>
    <w:rsid w:val="00B7129C"/>
    <w:rsid w:val="00B712BB"/>
    <w:rsid w:val="00B72E51"/>
    <w:rsid w:val="00B75807"/>
    <w:rsid w:val="00B8336F"/>
    <w:rsid w:val="00B8528B"/>
    <w:rsid w:val="00B91ED2"/>
    <w:rsid w:val="00BA27E0"/>
    <w:rsid w:val="00BB18A0"/>
    <w:rsid w:val="00BB1FD8"/>
    <w:rsid w:val="00BB291F"/>
    <w:rsid w:val="00BB5E3D"/>
    <w:rsid w:val="00BD4E6B"/>
    <w:rsid w:val="00BF6A19"/>
    <w:rsid w:val="00BF71DF"/>
    <w:rsid w:val="00BF747F"/>
    <w:rsid w:val="00C10A77"/>
    <w:rsid w:val="00C115CE"/>
    <w:rsid w:val="00C231B1"/>
    <w:rsid w:val="00C434E0"/>
    <w:rsid w:val="00C50512"/>
    <w:rsid w:val="00C50E07"/>
    <w:rsid w:val="00C60959"/>
    <w:rsid w:val="00C7531F"/>
    <w:rsid w:val="00C83C38"/>
    <w:rsid w:val="00C84B2D"/>
    <w:rsid w:val="00C872B3"/>
    <w:rsid w:val="00C90BD9"/>
    <w:rsid w:val="00C922BD"/>
    <w:rsid w:val="00C947D2"/>
    <w:rsid w:val="00CA08CC"/>
    <w:rsid w:val="00CA09B3"/>
    <w:rsid w:val="00CB2B18"/>
    <w:rsid w:val="00CB3951"/>
    <w:rsid w:val="00CB5C22"/>
    <w:rsid w:val="00CC2E8B"/>
    <w:rsid w:val="00CC48E0"/>
    <w:rsid w:val="00CD1356"/>
    <w:rsid w:val="00CD2D44"/>
    <w:rsid w:val="00CE36AD"/>
    <w:rsid w:val="00D05EA2"/>
    <w:rsid w:val="00D34FC1"/>
    <w:rsid w:val="00D42168"/>
    <w:rsid w:val="00D46558"/>
    <w:rsid w:val="00D46887"/>
    <w:rsid w:val="00D503E4"/>
    <w:rsid w:val="00D52B8D"/>
    <w:rsid w:val="00D5361F"/>
    <w:rsid w:val="00D55182"/>
    <w:rsid w:val="00D60A7D"/>
    <w:rsid w:val="00D62070"/>
    <w:rsid w:val="00D62613"/>
    <w:rsid w:val="00D6474E"/>
    <w:rsid w:val="00D842F0"/>
    <w:rsid w:val="00D856B5"/>
    <w:rsid w:val="00DA08A2"/>
    <w:rsid w:val="00DA1D60"/>
    <w:rsid w:val="00DA2D56"/>
    <w:rsid w:val="00DA63C3"/>
    <w:rsid w:val="00DA7754"/>
    <w:rsid w:val="00DB0931"/>
    <w:rsid w:val="00DC041A"/>
    <w:rsid w:val="00DC7968"/>
    <w:rsid w:val="00DF1F3C"/>
    <w:rsid w:val="00E135A7"/>
    <w:rsid w:val="00E1388A"/>
    <w:rsid w:val="00E17A80"/>
    <w:rsid w:val="00E207AE"/>
    <w:rsid w:val="00E20FD9"/>
    <w:rsid w:val="00E276CA"/>
    <w:rsid w:val="00E31EDA"/>
    <w:rsid w:val="00E341C1"/>
    <w:rsid w:val="00E367AD"/>
    <w:rsid w:val="00E46593"/>
    <w:rsid w:val="00E52A27"/>
    <w:rsid w:val="00E5555A"/>
    <w:rsid w:val="00E575D4"/>
    <w:rsid w:val="00E8004D"/>
    <w:rsid w:val="00E8413E"/>
    <w:rsid w:val="00E87E2C"/>
    <w:rsid w:val="00E91E89"/>
    <w:rsid w:val="00E927A5"/>
    <w:rsid w:val="00EA127C"/>
    <w:rsid w:val="00EA147D"/>
    <w:rsid w:val="00EA7C34"/>
    <w:rsid w:val="00EB2E52"/>
    <w:rsid w:val="00EB3035"/>
    <w:rsid w:val="00EC10C3"/>
    <w:rsid w:val="00ED39DC"/>
    <w:rsid w:val="00ED3AC8"/>
    <w:rsid w:val="00EE5D77"/>
    <w:rsid w:val="00EE6D44"/>
    <w:rsid w:val="00EF1D82"/>
    <w:rsid w:val="00EF6ECA"/>
    <w:rsid w:val="00F01870"/>
    <w:rsid w:val="00F32B7D"/>
    <w:rsid w:val="00F4605F"/>
    <w:rsid w:val="00F47A72"/>
    <w:rsid w:val="00F55639"/>
    <w:rsid w:val="00F56E9B"/>
    <w:rsid w:val="00F626AE"/>
    <w:rsid w:val="00F658B7"/>
    <w:rsid w:val="00F71DE4"/>
    <w:rsid w:val="00F741B4"/>
    <w:rsid w:val="00F8474A"/>
    <w:rsid w:val="00F8621A"/>
    <w:rsid w:val="00F95297"/>
    <w:rsid w:val="00F9558E"/>
    <w:rsid w:val="00FA2F73"/>
    <w:rsid w:val="00FA5BF7"/>
    <w:rsid w:val="00FB51DE"/>
    <w:rsid w:val="00FB6993"/>
    <w:rsid w:val="00FB7FC2"/>
    <w:rsid w:val="00FC04AA"/>
    <w:rsid w:val="00FD0F7A"/>
    <w:rsid w:val="00FD20B4"/>
    <w:rsid w:val="00FD2C0B"/>
    <w:rsid w:val="00FD69BC"/>
    <w:rsid w:val="00FD7BC4"/>
    <w:rsid w:val="00FE16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9D0AB7"/>
    <w:rPr>
      <w:sz w:val="16"/>
      <w:szCs w:val="16"/>
    </w:rPr>
  </w:style>
  <w:style w:type="paragraph" w:styleId="CommentText">
    <w:name w:val="annotation text"/>
    <w:basedOn w:val="Normal"/>
    <w:link w:val="CommentTextChar"/>
    <w:uiPriority w:val="99"/>
    <w:unhideWhenUsed/>
    <w:rsid w:val="009D0AB7"/>
    <w:rPr>
      <w:sz w:val="20"/>
      <w:szCs w:val="20"/>
    </w:rPr>
  </w:style>
  <w:style w:type="character" w:customStyle="1" w:styleId="CommentTextChar">
    <w:name w:val="Comment Text Char"/>
    <w:basedOn w:val="DefaultParagraphFont"/>
    <w:link w:val="CommentText"/>
    <w:uiPriority w:val="99"/>
    <w:rsid w:val="009D0AB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D0AB7"/>
    <w:rPr>
      <w:b/>
      <w:bCs/>
    </w:rPr>
  </w:style>
  <w:style w:type="character" w:customStyle="1" w:styleId="CommentSubjectChar">
    <w:name w:val="Comment Subject Char"/>
    <w:basedOn w:val="CommentTextChar"/>
    <w:link w:val="CommentSubject"/>
    <w:uiPriority w:val="99"/>
    <w:semiHidden/>
    <w:rsid w:val="009D0AB7"/>
    <w:rPr>
      <w:rFonts w:ascii="Times New Roman" w:hAnsi="Times New Roman"/>
      <w:b/>
      <w:bCs/>
      <w:sz w:val="20"/>
      <w:szCs w:val="20"/>
    </w:rPr>
  </w:style>
  <w:style w:type="paragraph" w:styleId="Revision">
    <w:name w:val="Revision"/>
    <w:hidden/>
    <w:uiPriority w:val="99"/>
    <w:semiHidden/>
    <w:rsid w:val="007B5EEC"/>
    <w:rPr>
      <w:rFonts w:ascii="Times New Roman" w:hAnsi="Times New Roman"/>
      <w:sz w:val="24"/>
    </w:rPr>
  </w:style>
  <w:style w:type="table" w:styleId="PlainTable4">
    <w:name w:val="Plain Table 4"/>
    <w:basedOn w:val="TableNormal"/>
    <w:uiPriority w:val="44"/>
    <w:rsid w:val="002C55F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48804">
      <w:bodyDiv w:val="1"/>
      <w:marLeft w:val="0"/>
      <w:marRight w:val="0"/>
      <w:marTop w:val="0"/>
      <w:marBottom w:val="0"/>
      <w:divBdr>
        <w:top w:val="none" w:sz="0" w:space="0" w:color="auto"/>
        <w:left w:val="none" w:sz="0" w:space="0" w:color="auto"/>
        <w:bottom w:val="none" w:sz="0" w:space="0" w:color="auto"/>
        <w:right w:val="none" w:sz="0" w:space="0" w:color="auto"/>
      </w:divBdr>
      <w:divsChild>
        <w:div w:id="573659069">
          <w:marLeft w:val="0"/>
          <w:marRight w:val="0"/>
          <w:marTop w:val="0"/>
          <w:marBottom w:val="0"/>
          <w:divBdr>
            <w:top w:val="none" w:sz="0" w:space="0" w:color="auto"/>
            <w:left w:val="none" w:sz="0" w:space="0" w:color="auto"/>
            <w:bottom w:val="none" w:sz="0" w:space="0" w:color="auto"/>
            <w:right w:val="none" w:sz="0" w:space="0" w:color="auto"/>
          </w:divBdr>
        </w:div>
        <w:div w:id="577789591">
          <w:marLeft w:val="0"/>
          <w:marRight w:val="0"/>
          <w:marTop w:val="0"/>
          <w:marBottom w:val="0"/>
          <w:divBdr>
            <w:top w:val="none" w:sz="0" w:space="0" w:color="auto"/>
            <w:left w:val="none" w:sz="0" w:space="0" w:color="auto"/>
            <w:bottom w:val="none" w:sz="0" w:space="0" w:color="auto"/>
            <w:right w:val="none" w:sz="0" w:space="0" w:color="auto"/>
          </w:divBdr>
        </w:div>
        <w:div w:id="1709913533">
          <w:marLeft w:val="0"/>
          <w:marRight w:val="0"/>
          <w:marTop w:val="0"/>
          <w:marBottom w:val="0"/>
          <w:divBdr>
            <w:top w:val="none" w:sz="0" w:space="0" w:color="auto"/>
            <w:left w:val="none" w:sz="0" w:space="0" w:color="auto"/>
            <w:bottom w:val="none" w:sz="0" w:space="0" w:color="auto"/>
            <w:right w:val="none" w:sz="0" w:space="0" w:color="auto"/>
          </w:divBdr>
        </w:div>
        <w:div w:id="704478791">
          <w:marLeft w:val="0"/>
          <w:marRight w:val="0"/>
          <w:marTop w:val="0"/>
          <w:marBottom w:val="0"/>
          <w:divBdr>
            <w:top w:val="none" w:sz="0" w:space="0" w:color="auto"/>
            <w:left w:val="none" w:sz="0" w:space="0" w:color="auto"/>
            <w:bottom w:val="none" w:sz="0" w:space="0" w:color="auto"/>
            <w:right w:val="none" w:sz="0" w:space="0" w:color="auto"/>
          </w:divBdr>
        </w:div>
        <w:div w:id="275715240">
          <w:marLeft w:val="0"/>
          <w:marRight w:val="0"/>
          <w:marTop w:val="0"/>
          <w:marBottom w:val="0"/>
          <w:divBdr>
            <w:top w:val="none" w:sz="0" w:space="0" w:color="auto"/>
            <w:left w:val="none" w:sz="0" w:space="0" w:color="auto"/>
            <w:bottom w:val="none" w:sz="0" w:space="0" w:color="auto"/>
            <w:right w:val="none" w:sz="0" w:space="0" w:color="auto"/>
          </w:divBdr>
        </w:div>
        <w:div w:id="127279831">
          <w:marLeft w:val="0"/>
          <w:marRight w:val="0"/>
          <w:marTop w:val="0"/>
          <w:marBottom w:val="0"/>
          <w:divBdr>
            <w:top w:val="none" w:sz="0" w:space="0" w:color="auto"/>
            <w:left w:val="none" w:sz="0" w:space="0" w:color="auto"/>
            <w:bottom w:val="none" w:sz="0" w:space="0" w:color="auto"/>
            <w:right w:val="none" w:sz="0" w:space="0" w:color="auto"/>
          </w:divBdr>
        </w:div>
        <w:div w:id="921791287">
          <w:marLeft w:val="0"/>
          <w:marRight w:val="0"/>
          <w:marTop w:val="0"/>
          <w:marBottom w:val="0"/>
          <w:divBdr>
            <w:top w:val="none" w:sz="0" w:space="0" w:color="auto"/>
            <w:left w:val="none" w:sz="0" w:space="0" w:color="auto"/>
            <w:bottom w:val="none" w:sz="0" w:space="0" w:color="auto"/>
            <w:right w:val="none" w:sz="0" w:space="0" w:color="auto"/>
          </w:divBdr>
        </w:div>
        <w:div w:id="902832125">
          <w:marLeft w:val="0"/>
          <w:marRight w:val="0"/>
          <w:marTop w:val="0"/>
          <w:marBottom w:val="0"/>
          <w:divBdr>
            <w:top w:val="none" w:sz="0" w:space="0" w:color="auto"/>
            <w:left w:val="none" w:sz="0" w:space="0" w:color="auto"/>
            <w:bottom w:val="none" w:sz="0" w:space="0" w:color="auto"/>
            <w:right w:val="none" w:sz="0" w:space="0" w:color="auto"/>
          </w:divBdr>
        </w:div>
        <w:div w:id="890114563">
          <w:marLeft w:val="0"/>
          <w:marRight w:val="0"/>
          <w:marTop w:val="0"/>
          <w:marBottom w:val="0"/>
          <w:divBdr>
            <w:top w:val="none" w:sz="0" w:space="0" w:color="auto"/>
            <w:left w:val="none" w:sz="0" w:space="0" w:color="auto"/>
            <w:bottom w:val="none" w:sz="0" w:space="0" w:color="auto"/>
            <w:right w:val="none" w:sz="0" w:space="0" w:color="auto"/>
          </w:divBdr>
        </w:div>
        <w:div w:id="2073697015">
          <w:marLeft w:val="0"/>
          <w:marRight w:val="0"/>
          <w:marTop w:val="0"/>
          <w:marBottom w:val="0"/>
          <w:divBdr>
            <w:top w:val="none" w:sz="0" w:space="0" w:color="auto"/>
            <w:left w:val="none" w:sz="0" w:space="0" w:color="auto"/>
            <w:bottom w:val="none" w:sz="0" w:space="0" w:color="auto"/>
            <w:right w:val="none" w:sz="0" w:space="0" w:color="auto"/>
          </w:divBdr>
        </w:div>
        <w:div w:id="195700560">
          <w:marLeft w:val="0"/>
          <w:marRight w:val="0"/>
          <w:marTop w:val="0"/>
          <w:marBottom w:val="0"/>
          <w:divBdr>
            <w:top w:val="none" w:sz="0" w:space="0" w:color="auto"/>
            <w:left w:val="none" w:sz="0" w:space="0" w:color="auto"/>
            <w:bottom w:val="none" w:sz="0" w:space="0" w:color="auto"/>
            <w:right w:val="none" w:sz="0" w:space="0" w:color="auto"/>
          </w:divBdr>
        </w:div>
        <w:div w:id="1312059265">
          <w:marLeft w:val="0"/>
          <w:marRight w:val="0"/>
          <w:marTop w:val="0"/>
          <w:marBottom w:val="0"/>
          <w:divBdr>
            <w:top w:val="none" w:sz="0" w:space="0" w:color="auto"/>
            <w:left w:val="none" w:sz="0" w:space="0" w:color="auto"/>
            <w:bottom w:val="none" w:sz="0" w:space="0" w:color="auto"/>
            <w:right w:val="none" w:sz="0" w:space="0" w:color="auto"/>
          </w:divBdr>
        </w:div>
        <w:div w:id="1407193161">
          <w:marLeft w:val="0"/>
          <w:marRight w:val="0"/>
          <w:marTop w:val="0"/>
          <w:marBottom w:val="0"/>
          <w:divBdr>
            <w:top w:val="none" w:sz="0" w:space="0" w:color="auto"/>
            <w:left w:val="none" w:sz="0" w:space="0" w:color="auto"/>
            <w:bottom w:val="none" w:sz="0" w:space="0" w:color="auto"/>
            <w:right w:val="none" w:sz="0" w:space="0" w:color="auto"/>
          </w:divBdr>
        </w:div>
        <w:div w:id="1281063021">
          <w:marLeft w:val="0"/>
          <w:marRight w:val="0"/>
          <w:marTop w:val="0"/>
          <w:marBottom w:val="0"/>
          <w:divBdr>
            <w:top w:val="none" w:sz="0" w:space="0" w:color="auto"/>
            <w:left w:val="none" w:sz="0" w:space="0" w:color="auto"/>
            <w:bottom w:val="none" w:sz="0" w:space="0" w:color="auto"/>
            <w:right w:val="none" w:sz="0" w:space="0" w:color="auto"/>
          </w:divBdr>
        </w:div>
        <w:div w:id="225990445">
          <w:marLeft w:val="0"/>
          <w:marRight w:val="0"/>
          <w:marTop w:val="0"/>
          <w:marBottom w:val="0"/>
          <w:divBdr>
            <w:top w:val="none" w:sz="0" w:space="0" w:color="auto"/>
            <w:left w:val="none" w:sz="0" w:space="0" w:color="auto"/>
            <w:bottom w:val="none" w:sz="0" w:space="0" w:color="auto"/>
            <w:right w:val="none" w:sz="0" w:space="0" w:color="auto"/>
          </w:divBdr>
        </w:div>
        <w:div w:id="2127040623">
          <w:marLeft w:val="0"/>
          <w:marRight w:val="0"/>
          <w:marTop w:val="0"/>
          <w:marBottom w:val="0"/>
          <w:divBdr>
            <w:top w:val="none" w:sz="0" w:space="0" w:color="auto"/>
            <w:left w:val="none" w:sz="0" w:space="0" w:color="auto"/>
            <w:bottom w:val="none" w:sz="0" w:space="0" w:color="auto"/>
            <w:right w:val="none" w:sz="0" w:space="0" w:color="auto"/>
          </w:divBdr>
        </w:div>
        <w:div w:id="275916800">
          <w:marLeft w:val="0"/>
          <w:marRight w:val="0"/>
          <w:marTop w:val="0"/>
          <w:marBottom w:val="0"/>
          <w:divBdr>
            <w:top w:val="none" w:sz="0" w:space="0" w:color="auto"/>
            <w:left w:val="none" w:sz="0" w:space="0" w:color="auto"/>
            <w:bottom w:val="none" w:sz="0" w:space="0" w:color="auto"/>
            <w:right w:val="none" w:sz="0" w:space="0" w:color="auto"/>
          </w:divBdr>
        </w:div>
        <w:div w:id="235286426">
          <w:marLeft w:val="0"/>
          <w:marRight w:val="0"/>
          <w:marTop w:val="0"/>
          <w:marBottom w:val="0"/>
          <w:divBdr>
            <w:top w:val="none" w:sz="0" w:space="0" w:color="auto"/>
            <w:left w:val="none" w:sz="0" w:space="0" w:color="auto"/>
            <w:bottom w:val="none" w:sz="0" w:space="0" w:color="auto"/>
            <w:right w:val="none" w:sz="0" w:space="0" w:color="auto"/>
          </w:divBdr>
        </w:div>
        <w:div w:id="817109201">
          <w:marLeft w:val="0"/>
          <w:marRight w:val="0"/>
          <w:marTop w:val="0"/>
          <w:marBottom w:val="0"/>
          <w:divBdr>
            <w:top w:val="none" w:sz="0" w:space="0" w:color="auto"/>
            <w:left w:val="none" w:sz="0" w:space="0" w:color="auto"/>
            <w:bottom w:val="none" w:sz="0" w:space="0" w:color="auto"/>
            <w:right w:val="none" w:sz="0" w:space="0" w:color="auto"/>
          </w:divBdr>
        </w:div>
        <w:div w:id="251932307">
          <w:marLeft w:val="0"/>
          <w:marRight w:val="0"/>
          <w:marTop w:val="0"/>
          <w:marBottom w:val="0"/>
          <w:divBdr>
            <w:top w:val="none" w:sz="0" w:space="0" w:color="auto"/>
            <w:left w:val="none" w:sz="0" w:space="0" w:color="auto"/>
            <w:bottom w:val="none" w:sz="0" w:space="0" w:color="auto"/>
            <w:right w:val="none" w:sz="0" w:space="0" w:color="auto"/>
          </w:divBdr>
        </w:div>
        <w:div w:id="1703047534">
          <w:marLeft w:val="0"/>
          <w:marRight w:val="0"/>
          <w:marTop w:val="0"/>
          <w:marBottom w:val="0"/>
          <w:divBdr>
            <w:top w:val="none" w:sz="0" w:space="0" w:color="auto"/>
            <w:left w:val="none" w:sz="0" w:space="0" w:color="auto"/>
            <w:bottom w:val="none" w:sz="0" w:space="0" w:color="auto"/>
            <w:right w:val="none" w:sz="0" w:space="0" w:color="auto"/>
          </w:divBdr>
        </w:div>
        <w:div w:id="1048187613">
          <w:marLeft w:val="0"/>
          <w:marRight w:val="0"/>
          <w:marTop w:val="0"/>
          <w:marBottom w:val="0"/>
          <w:divBdr>
            <w:top w:val="none" w:sz="0" w:space="0" w:color="auto"/>
            <w:left w:val="none" w:sz="0" w:space="0" w:color="auto"/>
            <w:bottom w:val="none" w:sz="0" w:space="0" w:color="auto"/>
            <w:right w:val="none" w:sz="0" w:space="0" w:color="auto"/>
          </w:divBdr>
        </w:div>
        <w:div w:id="1212115065">
          <w:marLeft w:val="0"/>
          <w:marRight w:val="0"/>
          <w:marTop w:val="0"/>
          <w:marBottom w:val="0"/>
          <w:divBdr>
            <w:top w:val="none" w:sz="0" w:space="0" w:color="auto"/>
            <w:left w:val="none" w:sz="0" w:space="0" w:color="auto"/>
            <w:bottom w:val="none" w:sz="0" w:space="0" w:color="auto"/>
            <w:right w:val="none" w:sz="0" w:space="0" w:color="auto"/>
          </w:divBdr>
        </w:div>
        <w:div w:id="597638106">
          <w:marLeft w:val="0"/>
          <w:marRight w:val="0"/>
          <w:marTop w:val="0"/>
          <w:marBottom w:val="0"/>
          <w:divBdr>
            <w:top w:val="none" w:sz="0" w:space="0" w:color="auto"/>
            <w:left w:val="none" w:sz="0" w:space="0" w:color="auto"/>
            <w:bottom w:val="none" w:sz="0" w:space="0" w:color="auto"/>
            <w:right w:val="none" w:sz="0" w:space="0" w:color="auto"/>
          </w:divBdr>
        </w:div>
        <w:div w:id="810290226">
          <w:marLeft w:val="0"/>
          <w:marRight w:val="0"/>
          <w:marTop w:val="0"/>
          <w:marBottom w:val="0"/>
          <w:divBdr>
            <w:top w:val="none" w:sz="0" w:space="0" w:color="auto"/>
            <w:left w:val="none" w:sz="0" w:space="0" w:color="auto"/>
            <w:bottom w:val="none" w:sz="0" w:space="0" w:color="auto"/>
            <w:right w:val="none" w:sz="0" w:space="0" w:color="auto"/>
          </w:divBdr>
        </w:div>
        <w:div w:id="1802459115">
          <w:marLeft w:val="0"/>
          <w:marRight w:val="0"/>
          <w:marTop w:val="0"/>
          <w:marBottom w:val="0"/>
          <w:divBdr>
            <w:top w:val="none" w:sz="0" w:space="0" w:color="auto"/>
            <w:left w:val="none" w:sz="0" w:space="0" w:color="auto"/>
            <w:bottom w:val="none" w:sz="0" w:space="0" w:color="auto"/>
            <w:right w:val="none" w:sz="0" w:space="0" w:color="auto"/>
          </w:divBdr>
        </w:div>
        <w:div w:id="1965232439">
          <w:marLeft w:val="0"/>
          <w:marRight w:val="0"/>
          <w:marTop w:val="0"/>
          <w:marBottom w:val="0"/>
          <w:divBdr>
            <w:top w:val="none" w:sz="0" w:space="0" w:color="auto"/>
            <w:left w:val="none" w:sz="0" w:space="0" w:color="auto"/>
            <w:bottom w:val="none" w:sz="0" w:space="0" w:color="auto"/>
            <w:right w:val="none" w:sz="0" w:space="0" w:color="auto"/>
          </w:divBdr>
        </w:div>
        <w:div w:id="1812558797">
          <w:marLeft w:val="0"/>
          <w:marRight w:val="0"/>
          <w:marTop w:val="0"/>
          <w:marBottom w:val="0"/>
          <w:divBdr>
            <w:top w:val="none" w:sz="0" w:space="0" w:color="auto"/>
            <w:left w:val="none" w:sz="0" w:space="0" w:color="auto"/>
            <w:bottom w:val="none" w:sz="0" w:space="0" w:color="auto"/>
            <w:right w:val="none" w:sz="0" w:space="0" w:color="auto"/>
          </w:divBdr>
        </w:div>
        <w:div w:id="815418395">
          <w:marLeft w:val="0"/>
          <w:marRight w:val="0"/>
          <w:marTop w:val="0"/>
          <w:marBottom w:val="0"/>
          <w:divBdr>
            <w:top w:val="none" w:sz="0" w:space="0" w:color="auto"/>
            <w:left w:val="none" w:sz="0" w:space="0" w:color="auto"/>
            <w:bottom w:val="none" w:sz="0" w:space="0" w:color="auto"/>
            <w:right w:val="none" w:sz="0" w:space="0" w:color="auto"/>
          </w:divBdr>
        </w:div>
        <w:div w:id="1287809801">
          <w:marLeft w:val="0"/>
          <w:marRight w:val="0"/>
          <w:marTop w:val="0"/>
          <w:marBottom w:val="0"/>
          <w:divBdr>
            <w:top w:val="none" w:sz="0" w:space="0" w:color="auto"/>
            <w:left w:val="none" w:sz="0" w:space="0" w:color="auto"/>
            <w:bottom w:val="none" w:sz="0" w:space="0" w:color="auto"/>
            <w:right w:val="none" w:sz="0" w:space="0" w:color="auto"/>
          </w:divBdr>
        </w:div>
        <w:div w:id="1757050097">
          <w:marLeft w:val="0"/>
          <w:marRight w:val="0"/>
          <w:marTop w:val="0"/>
          <w:marBottom w:val="0"/>
          <w:divBdr>
            <w:top w:val="none" w:sz="0" w:space="0" w:color="auto"/>
            <w:left w:val="none" w:sz="0" w:space="0" w:color="auto"/>
            <w:bottom w:val="none" w:sz="0" w:space="0" w:color="auto"/>
            <w:right w:val="none" w:sz="0" w:space="0" w:color="auto"/>
          </w:divBdr>
        </w:div>
        <w:div w:id="2048791249">
          <w:marLeft w:val="0"/>
          <w:marRight w:val="0"/>
          <w:marTop w:val="0"/>
          <w:marBottom w:val="0"/>
          <w:divBdr>
            <w:top w:val="none" w:sz="0" w:space="0" w:color="auto"/>
            <w:left w:val="none" w:sz="0" w:space="0" w:color="auto"/>
            <w:bottom w:val="none" w:sz="0" w:space="0" w:color="auto"/>
            <w:right w:val="none" w:sz="0" w:space="0" w:color="auto"/>
          </w:divBdr>
        </w:div>
        <w:div w:id="1911847258">
          <w:marLeft w:val="0"/>
          <w:marRight w:val="0"/>
          <w:marTop w:val="0"/>
          <w:marBottom w:val="0"/>
          <w:divBdr>
            <w:top w:val="none" w:sz="0" w:space="0" w:color="auto"/>
            <w:left w:val="none" w:sz="0" w:space="0" w:color="auto"/>
            <w:bottom w:val="none" w:sz="0" w:space="0" w:color="auto"/>
            <w:right w:val="none" w:sz="0" w:space="0" w:color="auto"/>
          </w:divBdr>
        </w:div>
        <w:div w:id="428618999">
          <w:marLeft w:val="0"/>
          <w:marRight w:val="0"/>
          <w:marTop w:val="0"/>
          <w:marBottom w:val="0"/>
          <w:divBdr>
            <w:top w:val="none" w:sz="0" w:space="0" w:color="auto"/>
            <w:left w:val="none" w:sz="0" w:space="0" w:color="auto"/>
            <w:bottom w:val="none" w:sz="0" w:space="0" w:color="auto"/>
            <w:right w:val="none" w:sz="0" w:space="0" w:color="auto"/>
          </w:divBdr>
        </w:div>
        <w:div w:id="1920021211">
          <w:marLeft w:val="0"/>
          <w:marRight w:val="0"/>
          <w:marTop w:val="0"/>
          <w:marBottom w:val="0"/>
          <w:divBdr>
            <w:top w:val="none" w:sz="0" w:space="0" w:color="auto"/>
            <w:left w:val="none" w:sz="0" w:space="0" w:color="auto"/>
            <w:bottom w:val="none" w:sz="0" w:space="0" w:color="auto"/>
            <w:right w:val="none" w:sz="0" w:space="0" w:color="auto"/>
          </w:divBdr>
        </w:div>
        <w:div w:id="542060774">
          <w:marLeft w:val="0"/>
          <w:marRight w:val="0"/>
          <w:marTop w:val="0"/>
          <w:marBottom w:val="0"/>
          <w:divBdr>
            <w:top w:val="none" w:sz="0" w:space="0" w:color="auto"/>
            <w:left w:val="none" w:sz="0" w:space="0" w:color="auto"/>
            <w:bottom w:val="none" w:sz="0" w:space="0" w:color="auto"/>
            <w:right w:val="none" w:sz="0" w:space="0" w:color="auto"/>
          </w:divBdr>
        </w:div>
        <w:div w:id="2072119110">
          <w:marLeft w:val="0"/>
          <w:marRight w:val="0"/>
          <w:marTop w:val="0"/>
          <w:marBottom w:val="0"/>
          <w:divBdr>
            <w:top w:val="none" w:sz="0" w:space="0" w:color="auto"/>
            <w:left w:val="none" w:sz="0" w:space="0" w:color="auto"/>
            <w:bottom w:val="none" w:sz="0" w:space="0" w:color="auto"/>
            <w:right w:val="none" w:sz="0" w:space="0" w:color="auto"/>
          </w:divBdr>
        </w:div>
        <w:div w:id="451828549">
          <w:marLeft w:val="0"/>
          <w:marRight w:val="0"/>
          <w:marTop w:val="0"/>
          <w:marBottom w:val="0"/>
          <w:divBdr>
            <w:top w:val="none" w:sz="0" w:space="0" w:color="auto"/>
            <w:left w:val="none" w:sz="0" w:space="0" w:color="auto"/>
            <w:bottom w:val="none" w:sz="0" w:space="0" w:color="auto"/>
            <w:right w:val="none" w:sz="0" w:space="0" w:color="auto"/>
          </w:divBdr>
        </w:div>
        <w:div w:id="474223802">
          <w:marLeft w:val="0"/>
          <w:marRight w:val="0"/>
          <w:marTop w:val="0"/>
          <w:marBottom w:val="0"/>
          <w:divBdr>
            <w:top w:val="none" w:sz="0" w:space="0" w:color="auto"/>
            <w:left w:val="none" w:sz="0" w:space="0" w:color="auto"/>
            <w:bottom w:val="none" w:sz="0" w:space="0" w:color="auto"/>
            <w:right w:val="none" w:sz="0" w:space="0" w:color="auto"/>
          </w:divBdr>
        </w:div>
      </w:divsChild>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5743538">
      <w:bodyDiv w:val="1"/>
      <w:marLeft w:val="0"/>
      <w:marRight w:val="0"/>
      <w:marTop w:val="0"/>
      <w:marBottom w:val="0"/>
      <w:divBdr>
        <w:top w:val="none" w:sz="0" w:space="0" w:color="auto"/>
        <w:left w:val="none" w:sz="0" w:space="0" w:color="auto"/>
        <w:bottom w:val="none" w:sz="0" w:space="0" w:color="auto"/>
        <w:right w:val="none" w:sz="0" w:space="0" w:color="auto"/>
      </w:divBdr>
      <w:divsChild>
        <w:div w:id="1632243262">
          <w:marLeft w:val="0"/>
          <w:marRight w:val="0"/>
          <w:marTop w:val="0"/>
          <w:marBottom w:val="0"/>
          <w:divBdr>
            <w:top w:val="none" w:sz="0" w:space="0" w:color="auto"/>
            <w:left w:val="none" w:sz="0" w:space="0" w:color="auto"/>
            <w:bottom w:val="none" w:sz="0" w:space="0" w:color="auto"/>
            <w:right w:val="none" w:sz="0" w:space="0" w:color="auto"/>
          </w:divBdr>
        </w:div>
        <w:div w:id="1589734830">
          <w:marLeft w:val="0"/>
          <w:marRight w:val="0"/>
          <w:marTop w:val="0"/>
          <w:marBottom w:val="0"/>
          <w:divBdr>
            <w:top w:val="none" w:sz="0" w:space="0" w:color="auto"/>
            <w:left w:val="none" w:sz="0" w:space="0" w:color="auto"/>
            <w:bottom w:val="none" w:sz="0" w:space="0" w:color="auto"/>
            <w:right w:val="none" w:sz="0" w:space="0" w:color="auto"/>
          </w:divBdr>
        </w:div>
        <w:div w:id="1744907995">
          <w:marLeft w:val="0"/>
          <w:marRight w:val="0"/>
          <w:marTop w:val="0"/>
          <w:marBottom w:val="0"/>
          <w:divBdr>
            <w:top w:val="none" w:sz="0" w:space="0" w:color="auto"/>
            <w:left w:val="none" w:sz="0" w:space="0" w:color="auto"/>
            <w:bottom w:val="none" w:sz="0" w:space="0" w:color="auto"/>
            <w:right w:val="none" w:sz="0" w:space="0" w:color="auto"/>
          </w:divBdr>
        </w:div>
        <w:div w:id="668096947">
          <w:marLeft w:val="0"/>
          <w:marRight w:val="0"/>
          <w:marTop w:val="0"/>
          <w:marBottom w:val="0"/>
          <w:divBdr>
            <w:top w:val="none" w:sz="0" w:space="0" w:color="auto"/>
            <w:left w:val="none" w:sz="0" w:space="0" w:color="auto"/>
            <w:bottom w:val="none" w:sz="0" w:space="0" w:color="auto"/>
            <w:right w:val="none" w:sz="0" w:space="0" w:color="auto"/>
          </w:divBdr>
        </w:div>
        <w:div w:id="1465855774">
          <w:marLeft w:val="0"/>
          <w:marRight w:val="0"/>
          <w:marTop w:val="0"/>
          <w:marBottom w:val="0"/>
          <w:divBdr>
            <w:top w:val="none" w:sz="0" w:space="0" w:color="auto"/>
            <w:left w:val="none" w:sz="0" w:space="0" w:color="auto"/>
            <w:bottom w:val="none" w:sz="0" w:space="0" w:color="auto"/>
            <w:right w:val="none" w:sz="0" w:space="0" w:color="auto"/>
          </w:divBdr>
        </w:div>
        <w:div w:id="572475682">
          <w:marLeft w:val="0"/>
          <w:marRight w:val="0"/>
          <w:marTop w:val="0"/>
          <w:marBottom w:val="0"/>
          <w:divBdr>
            <w:top w:val="none" w:sz="0" w:space="0" w:color="auto"/>
            <w:left w:val="none" w:sz="0" w:space="0" w:color="auto"/>
            <w:bottom w:val="none" w:sz="0" w:space="0" w:color="auto"/>
            <w:right w:val="none" w:sz="0" w:space="0" w:color="auto"/>
          </w:divBdr>
        </w:div>
        <w:div w:id="1004433987">
          <w:marLeft w:val="0"/>
          <w:marRight w:val="0"/>
          <w:marTop w:val="0"/>
          <w:marBottom w:val="0"/>
          <w:divBdr>
            <w:top w:val="none" w:sz="0" w:space="0" w:color="auto"/>
            <w:left w:val="none" w:sz="0" w:space="0" w:color="auto"/>
            <w:bottom w:val="none" w:sz="0" w:space="0" w:color="auto"/>
            <w:right w:val="none" w:sz="0" w:space="0" w:color="auto"/>
          </w:divBdr>
        </w:div>
        <w:div w:id="213197120">
          <w:marLeft w:val="0"/>
          <w:marRight w:val="0"/>
          <w:marTop w:val="0"/>
          <w:marBottom w:val="0"/>
          <w:divBdr>
            <w:top w:val="none" w:sz="0" w:space="0" w:color="auto"/>
            <w:left w:val="none" w:sz="0" w:space="0" w:color="auto"/>
            <w:bottom w:val="none" w:sz="0" w:space="0" w:color="auto"/>
            <w:right w:val="none" w:sz="0" w:space="0" w:color="auto"/>
          </w:divBdr>
        </w:div>
        <w:div w:id="489368921">
          <w:marLeft w:val="0"/>
          <w:marRight w:val="0"/>
          <w:marTop w:val="0"/>
          <w:marBottom w:val="0"/>
          <w:divBdr>
            <w:top w:val="none" w:sz="0" w:space="0" w:color="auto"/>
            <w:left w:val="none" w:sz="0" w:space="0" w:color="auto"/>
            <w:bottom w:val="none" w:sz="0" w:space="0" w:color="auto"/>
            <w:right w:val="none" w:sz="0" w:space="0" w:color="auto"/>
          </w:divBdr>
        </w:div>
        <w:div w:id="1082487194">
          <w:marLeft w:val="0"/>
          <w:marRight w:val="0"/>
          <w:marTop w:val="0"/>
          <w:marBottom w:val="0"/>
          <w:divBdr>
            <w:top w:val="none" w:sz="0" w:space="0" w:color="auto"/>
            <w:left w:val="none" w:sz="0" w:space="0" w:color="auto"/>
            <w:bottom w:val="none" w:sz="0" w:space="0" w:color="auto"/>
            <w:right w:val="none" w:sz="0" w:space="0" w:color="auto"/>
          </w:divBdr>
        </w:div>
        <w:div w:id="1531531857">
          <w:marLeft w:val="0"/>
          <w:marRight w:val="0"/>
          <w:marTop w:val="0"/>
          <w:marBottom w:val="0"/>
          <w:divBdr>
            <w:top w:val="none" w:sz="0" w:space="0" w:color="auto"/>
            <w:left w:val="none" w:sz="0" w:space="0" w:color="auto"/>
            <w:bottom w:val="none" w:sz="0" w:space="0" w:color="auto"/>
            <w:right w:val="none" w:sz="0" w:space="0" w:color="auto"/>
          </w:divBdr>
        </w:div>
        <w:div w:id="469055086">
          <w:marLeft w:val="0"/>
          <w:marRight w:val="0"/>
          <w:marTop w:val="0"/>
          <w:marBottom w:val="0"/>
          <w:divBdr>
            <w:top w:val="none" w:sz="0" w:space="0" w:color="auto"/>
            <w:left w:val="none" w:sz="0" w:space="0" w:color="auto"/>
            <w:bottom w:val="none" w:sz="0" w:space="0" w:color="auto"/>
            <w:right w:val="none" w:sz="0" w:space="0" w:color="auto"/>
          </w:divBdr>
        </w:div>
        <w:div w:id="1042244929">
          <w:marLeft w:val="0"/>
          <w:marRight w:val="0"/>
          <w:marTop w:val="0"/>
          <w:marBottom w:val="0"/>
          <w:divBdr>
            <w:top w:val="none" w:sz="0" w:space="0" w:color="auto"/>
            <w:left w:val="none" w:sz="0" w:space="0" w:color="auto"/>
            <w:bottom w:val="none" w:sz="0" w:space="0" w:color="auto"/>
            <w:right w:val="none" w:sz="0" w:space="0" w:color="auto"/>
          </w:divBdr>
        </w:div>
        <w:div w:id="210195369">
          <w:marLeft w:val="0"/>
          <w:marRight w:val="0"/>
          <w:marTop w:val="0"/>
          <w:marBottom w:val="0"/>
          <w:divBdr>
            <w:top w:val="none" w:sz="0" w:space="0" w:color="auto"/>
            <w:left w:val="none" w:sz="0" w:space="0" w:color="auto"/>
            <w:bottom w:val="none" w:sz="0" w:space="0" w:color="auto"/>
            <w:right w:val="none" w:sz="0" w:space="0" w:color="auto"/>
          </w:divBdr>
        </w:div>
        <w:div w:id="728576518">
          <w:marLeft w:val="0"/>
          <w:marRight w:val="0"/>
          <w:marTop w:val="0"/>
          <w:marBottom w:val="0"/>
          <w:divBdr>
            <w:top w:val="none" w:sz="0" w:space="0" w:color="auto"/>
            <w:left w:val="none" w:sz="0" w:space="0" w:color="auto"/>
            <w:bottom w:val="none" w:sz="0" w:space="0" w:color="auto"/>
            <w:right w:val="none" w:sz="0" w:space="0" w:color="auto"/>
          </w:divBdr>
        </w:div>
        <w:div w:id="896206664">
          <w:marLeft w:val="0"/>
          <w:marRight w:val="0"/>
          <w:marTop w:val="0"/>
          <w:marBottom w:val="0"/>
          <w:divBdr>
            <w:top w:val="none" w:sz="0" w:space="0" w:color="auto"/>
            <w:left w:val="none" w:sz="0" w:space="0" w:color="auto"/>
            <w:bottom w:val="none" w:sz="0" w:space="0" w:color="auto"/>
            <w:right w:val="none" w:sz="0" w:space="0" w:color="auto"/>
          </w:divBdr>
        </w:div>
        <w:div w:id="1751346477">
          <w:marLeft w:val="0"/>
          <w:marRight w:val="0"/>
          <w:marTop w:val="0"/>
          <w:marBottom w:val="0"/>
          <w:divBdr>
            <w:top w:val="none" w:sz="0" w:space="0" w:color="auto"/>
            <w:left w:val="none" w:sz="0" w:space="0" w:color="auto"/>
            <w:bottom w:val="none" w:sz="0" w:space="0" w:color="auto"/>
            <w:right w:val="none" w:sz="0" w:space="0" w:color="auto"/>
          </w:divBdr>
        </w:div>
        <w:div w:id="147478373">
          <w:marLeft w:val="0"/>
          <w:marRight w:val="0"/>
          <w:marTop w:val="0"/>
          <w:marBottom w:val="0"/>
          <w:divBdr>
            <w:top w:val="none" w:sz="0" w:space="0" w:color="auto"/>
            <w:left w:val="none" w:sz="0" w:space="0" w:color="auto"/>
            <w:bottom w:val="none" w:sz="0" w:space="0" w:color="auto"/>
            <w:right w:val="none" w:sz="0" w:space="0" w:color="auto"/>
          </w:divBdr>
        </w:div>
        <w:div w:id="1591889930">
          <w:marLeft w:val="0"/>
          <w:marRight w:val="0"/>
          <w:marTop w:val="0"/>
          <w:marBottom w:val="0"/>
          <w:divBdr>
            <w:top w:val="none" w:sz="0" w:space="0" w:color="auto"/>
            <w:left w:val="none" w:sz="0" w:space="0" w:color="auto"/>
            <w:bottom w:val="none" w:sz="0" w:space="0" w:color="auto"/>
            <w:right w:val="none" w:sz="0" w:space="0" w:color="auto"/>
          </w:divBdr>
        </w:div>
        <w:div w:id="892304530">
          <w:marLeft w:val="0"/>
          <w:marRight w:val="0"/>
          <w:marTop w:val="0"/>
          <w:marBottom w:val="0"/>
          <w:divBdr>
            <w:top w:val="none" w:sz="0" w:space="0" w:color="auto"/>
            <w:left w:val="none" w:sz="0" w:space="0" w:color="auto"/>
            <w:bottom w:val="none" w:sz="0" w:space="0" w:color="auto"/>
            <w:right w:val="none" w:sz="0" w:space="0" w:color="auto"/>
          </w:divBdr>
        </w:div>
        <w:div w:id="166334561">
          <w:marLeft w:val="0"/>
          <w:marRight w:val="0"/>
          <w:marTop w:val="0"/>
          <w:marBottom w:val="0"/>
          <w:divBdr>
            <w:top w:val="none" w:sz="0" w:space="0" w:color="auto"/>
            <w:left w:val="none" w:sz="0" w:space="0" w:color="auto"/>
            <w:bottom w:val="none" w:sz="0" w:space="0" w:color="auto"/>
            <w:right w:val="none" w:sz="0" w:space="0" w:color="auto"/>
          </w:divBdr>
        </w:div>
        <w:div w:id="1815488033">
          <w:marLeft w:val="0"/>
          <w:marRight w:val="0"/>
          <w:marTop w:val="0"/>
          <w:marBottom w:val="0"/>
          <w:divBdr>
            <w:top w:val="none" w:sz="0" w:space="0" w:color="auto"/>
            <w:left w:val="none" w:sz="0" w:space="0" w:color="auto"/>
            <w:bottom w:val="none" w:sz="0" w:space="0" w:color="auto"/>
            <w:right w:val="none" w:sz="0" w:space="0" w:color="auto"/>
          </w:divBdr>
        </w:div>
        <w:div w:id="1270546784">
          <w:marLeft w:val="0"/>
          <w:marRight w:val="0"/>
          <w:marTop w:val="0"/>
          <w:marBottom w:val="0"/>
          <w:divBdr>
            <w:top w:val="none" w:sz="0" w:space="0" w:color="auto"/>
            <w:left w:val="none" w:sz="0" w:space="0" w:color="auto"/>
            <w:bottom w:val="none" w:sz="0" w:space="0" w:color="auto"/>
            <w:right w:val="none" w:sz="0" w:space="0" w:color="auto"/>
          </w:divBdr>
        </w:div>
        <w:div w:id="905261926">
          <w:marLeft w:val="0"/>
          <w:marRight w:val="0"/>
          <w:marTop w:val="0"/>
          <w:marBottom w:val="0"/>
          <w:divBdr>
            <w:top w:val="none" w:sz="0" w:space="0" w:color="auto"/>
            <w:left w:val="none" w:sz="0" w:space="0" w:color="auto"/>
            <w:bottom w:val="none" w:sz="0" w:space="0" w:color="auto"/>
            <w:right w:val="none" w:sz="0" w:space="0" w:color="auto"/>
          </w:divBdr>
        </w:div>
        <w:div w:id="1460536962">
          <w:marLeft w:val="0"/>
          <w:marRight w:val="0"/>
          <w:marTop w:val="0"/>
          <w:marBottom w:val="0"/>
          <w:divBdr>
            <w:top w:val="none" w:sz="0" w:space="0" w:color="auto"/>
            <w:left w:val="none" w:sz="0" w:space="0" w:color="auto"/>
            <w:bottom w:val="none" w:sz="0" w:space="0" w:color="auto"/>
            <w:right w:val="none" w:sz="0" w:space="0" w:color="auto"/>
          </w:divBdr>
        </w:div>
        <w:div w:id="1004286522">
          <w:marLeft w:val="0"/>
          <w:marRight w:val="0"/>
          <w:marTop w:val="0"/>
          <w:marBottom w:val="0"/>
          <w:divBdr>
            <w:top w:val="none" w:sz="0" w:space="0" w:color="auto"/>
            <w:left w:val="none" w:sz="0" w:space="0" w:color="auto"/>
            <w:bottom w:val="none" w:sz="0" w:space="0" w:color="auto"/>
            <w:right w:val="none" w:sz="0" w:space="0" w:color="auto"/>
          </w:divBdr>
        </w:div>
        <w:div w:id="1876656087">
          <w:marLeft w:val="0"/>
          <w:marRight w:val="0"/>
          <w:marTop w:val="0"/>
          <w:marBottom w:val="0"/>
          <w:divBdr>
            <w:top w:val="none" w:sz="0" w:space="0" w:color="auto"/>
            <w:left w:val="none" w:sz="0" w:space="0" w:color="auto"/>
            <w:bottom w:val="none" w:sz="0" w:space="0" w:color="auto"/>
            <w:right w:val="none" w:sz="0" w:space="0" w:color="auto"/>
          </w:divBdr>
        </w:div>
        <w:div w:id="378357827">
          <w:marLeft w:val="0"/>
          <w:marRight w:val="0"/>
          <w:marTop w:val="0"/>
          <w:marBottom w:val="0"/>
          <w:divBdr>
            <w:top w:val="none" w:sz="0" w:space="0" w:color="auto"/>
            <w:left w:val="none" w:sz="0" w:space="0" w:color="auto"/>
            <w:bottom w:val="none" w:sz="0" w:space="0" w:color="auto"/>
            <w:right w:val="none" w:sz="0" w:space="0" w:color="auto"/>
          </w:divBdr>
        </w:div>
        <w:div w:id="1655260789">
          <w:marLeft w:val="0"/>
          <w:marRight w:val="0"/>
          <w:marTop w:val="0"/>
          <w:marBottom w:val="0"/>
          <w:divBdr>
            <w:top w:val="none" w:sz="0" w:space="0" w:color="auto"/>
            <w:left w:val="none" w:sz="0" w:space="0" w:color="auto"/>
            <w:bottom w:val="none" w:sz="0" w:space="0" w:color="auto"/>
            <w:right w:val="none" w:sz="0" w:space="0" w:color="auto"/>
          </w:divBdr>
        </w:div>
        <w:div w:id="393238665">
          <w:marLeft w:val="0"/>
          <w:marRight w:val="0"/>
          <w:marTop w:val="0"/>
          <w:marBottom w:val="0"/>
          <w:divBdr>
            <w:top w:val="none" w:sz="0" w:space="0" w:color="auto"/>
            <w:left w:val="none" w:sz="0" w:space="0" w:color="auto"/>
            <w:bottom w:val="none" w:sz="0" w:space="0" w:color="auto"/>
            <w:right w:val="none" w:sz="0" w:space="0" w:color="auto"/>
          </w:divBdr>
        </w:div>
        <w:div w:id="596869031">
          <w:marLeft w:val="0"/>
          <w:marRight w:val="0"/>
          <w:marTop w:val="0"/>
          <w:marBottom w:val="0"/>
          <w:divBdr>
            <w:top w:val="none" w:sz="0" w:space="0" w:color="auto"/>
            <w:left w:val="none" w:sz="0" w:space="0" w:color="auto"/>
            <w:bottom w:val="none" w:sz="0" w:space="0" w:color="auto"/>
            <w:right w:val="none" w:sz="0" w:space="0" w:color="auto"/>
          </w:divBdr>
        </w:div>
        <w:div w:id="1676498785">
          <w:marLeft w:val="0"/>
          <w:marRight w:val="0"/>
          <w:marTop w:val="0"/>
          <w:marBottom w:val="0"/>
          <w:divBdr>
            <w:top w:val="none" w:sz="0" w:space="0" w:color="auto"/>
            <w:left w:val="none" w:sz="0" w:space="0" w:color="auto"/>
            <w:bottom w:val="none" w:sz="0" w:space="0" w:color="auto"/>
            <w:right w:val="none" w:sz="0" w:space="0" w:color="auto"/>
          </w:divBdr>
        </w:div>
        <w:div w:id="1272279461">
          <w:marLeft w:val="0"/>
          <w:marRight w:val="0"/>
          <w:marTop w:val="0"/>
          <w:marBottom w:val="0"/>
          <w:divBdr>
            <w:top w:val="none" w:sz="0" w:space="0" w:color="auto"/>
            <w:left w:val="none" w:sz="0" w:space="0" w:color="auto"/>
            <w:bottom w:val="none" w:sz="0" w:space="0" w:color="auto"/>
            <w:right w:val="none" w:sz="0" w:space="0" w:color="auto"/>
          </w:divBdr>
        </w:div>
        <w:div w:id="2015719763">
          <w:marLeft w:val="0"/>
          <w:marRight w:val="0"/>
          <w:marTop w:val="0"/>
          <w:marBottom w:val="0"/>
          <w:divBdr>
            <w:top w:val="none" w:sz="0" w:space="0" w:color="auto"/>
            <w:left w:val="none" w:sz="0" w:space="0" w:color="auto"/>
            <w:bottom w:val="none" w:sz="0" w:space="0" w:color="auto"/>
            <w:right w:val="none" w:sz="0" w:space="0" w:color="auto"/>
          </w:divBdr>
        </w:div>
        <w:div w:id="458425404">
          <w:marLeft w:val="0"/>
          <w:marRight w:val="0"/>
          <w:marTop w:val="0"/>
          <w:marBottom w:val="0"/>
          <w:divBdr>
            <w:top w:val="none" w:sz="0" w:space="0" w:color="auto"/>
            <w:left w:val="none" w:sz="0" w:space="0" w:color="auto"/>
            <w:bottom w:val="none" w:sz="0" w:space="0" w:color="auto"/>
            <w:right w:val="none" w:sz="0" w:space="0" w:color="auto"/>
          </w:divBdr>
        </w:div>
        <w:div w:id="1817184397">
          <w:marLeft w:val="0"/>
          <w:marRight w:val="0"/>
          <w:marTop w:val="0"/>
          <w:marBottom w:val="0"/>
          <w:divBdr>
            <w:top w:val="none" w:sz="0" w:space="0" w:color="auto"/>
            <w:left w:val="none" w:sz="0" w:space="0" w:color="auto"/>
            <w:bottom w:val="none" w:sz="0" w:space="0" w:color="auto"/>
            <w:right w:val="none" w:sz="0" w:space="0" w:color="auto"/>
          </w:divBdr>
        </w:div>
        <w:div w:id="411397310">
          <w:marLeft w:val="0"/>
          <w:marRight w:val="0"/>
          <w:marTop w:val="0"/>
          <w:marBottom w:val="0"/>
          <w:divBdr>
            <w:top w:val="none" w:sz="0" w:space="0" w:color="auto"/>
            <w:left w:val="none" w:sz="0" w:space="0" w:color="auto"/>
            <w:bottom w:val="none" w:sz="0" w:space="0" w:color="auto"/>
            <w:right w:val="none" w:sz="0" w:space="0" w:color="auto"/>
          </w:divBdr>
        </w:div>
        <w:div w:id="1620915107">
          <w:marLeft w:val="0"/>
          <w:marRight w:val="0"/>
          <w:marTop w:val="0"/>
          <w:marBottom w:val="0"/>
          <w:divBdr>
            <w:top w:val="none" w:sz="0" w:space="0" w:color="auto"/>
            <w:left w:val="none" w:sz="0" w:space="0" w:color="auto"/>
            <w:bottom w:val="none" w:sz="0" w:space="0" w:color="auto"/>
            <w:right w:val="none" w:sz="0" w:space="0" w:color="auto"/>
          </w:divBdr>
        </w:div>
        <w:div w:id="2094430636">
          <w:marLeft w:val="0"/>
          <w:marRight w:val="0"/>
          <w:marTop w:val="0"/>
          <w:marBottom w:val="0"/>
          <w:divBdr>
            <w:top w:val="none" w:sz="0" w:space="0" w:color="auto"/>
            <w:left w:val="none" w:sz="0" w:space="0" w:color="auto"/>
            <w:bottom w:val="none" w:sz="0" w:space="0" w:color="auto"/>
            <w:right w:val="none" w:sz="0" w:space="0" w:color="auto"/>
          </w:divBdr>
        </w:div>
      </w:divsChild>
    </w:div>
    <w:div w:id="1266571391">
      <w:bodyDiv w:val="1"/>
      <w:marLeft w:val="0"/>
      <w:marRight w:val="0"/>
      <w:marTop w:val="0"/>
      <w:marBottom w:val="0"/>
      <w:divBdr>
        <w:top w:val="none" w:sz="0" w:space="0" w:color="auto"/>
        <w:left w:val="none" w:sz="0" w:space="0" w:color="auto"/>
        <w:bottom w:val="none" w:sz="0" w:space="0" w:color="auto"/>
        <w:right w:val="none" w:sz="0" w:space="0" w:color="auto"/>
      </w:divBdr>
      <w:divsChild>
        <w:div w:id="1554731797">
          <w:marLeft w:val="0"/>
          <w:marRight w:val="0"/>
          <w:marTop w:val="0"/>
          <w:marBottom w:val="0"/>
          <w:divBdr>
            <w:top w:val="none" w:sz="0" w:space="0" w:color="auto"/>
            <w:left w:val="none" w:sz="0" w:space="0" w:color="auto"/>
            <w:bottom w:val="none" w:sz="0" w:space="0" w:color="auto"/>
            <w:right w:val="none" w:sz="0" w:space="0" w:color="auto"/>
          </w:divBdr>
          <w:divsChild>
            <w:div w:id="1123311578">
              <w:marLeft w:val="0"/>
              <w:marRight w:val="0"/>
              <w:marTop w:val="0"/>
              <w:marBottom w:val="0"/>
              <w:divBdr>
                <w:top w:val="none" w:sz="0" w:space="0" w:color="auto"/>
                <w:left w:val="none" w:sz="0" w:space="0" w:color="auto"/>
                <w:bottom w:val="none" w:sz="0" w:space="0" w:color="auto"/>
                <w:right w:val="none" w:sz="0" w:space="0" w:color="auto"/>
              </w:divBdr>
              <w:divsChild>
                <w:div w:id="1164396949">
                  <w:marLeft w:val="0"/>
                  <w:marRight w:val="150"/>
                  <w:marTop w:val="0"/>
                  <w:marBottom w:val="0"/>
                  <w:divBdr>
                    <w:top w:val="none" w:sz="0" w:space="0" w:color="auto"/>
                    <w:left w:val="none" w:sz="0" w:space="0" w:color="auto"/>
                    <w:bottom w:val="none" w:sz="0" w:space="0" w:color="auto"/>
                    <w:right w:val="none" w:sz="0" w:space="0" w:color="auto"/>
                  </w:divBdr>
                  <w:divsChild>
                    <w:div w:id="126164919">
                      <w:marLeft w:val="0"/>
                      <w:marRight w:val="150"/>
                      <w:marTop w:val="0"/>
                      <w:marBottom w:val="0"/>
                      <w:divBdr>
                        <w:top w:val="none" w:sz="0" w:space="0" w:color="auto"/>
                        <w:left w:val="none" w:sz="0" w:space="0" w:color="auto"/>
                        <w:bottom w:val="none" w:sz="0" w:space="0" w:color="auto"/>
                        <w:right w:val="none" w:sz="0" w:space="0" w:color="auto"/>
                      </w:divBdr>
                    </w:div>
                  </w:divsChild>
                </w:div>
                <w:div w:id="851147597">
                  <w:marLeft w:val="0"/>
                  <w:marRight w:val="150"/>
                  <w:marTop w:val="0"/>
                  <w:marBottom w:val="0"/>
                  <w:divBdr>
                    <w:top w:val="none" w:sz="0" w:space="0" w:color="auto"/>
                    <w:left w:val="none" w:sz="0" w:space="0" w:color="auto"/>
                    <w:bottom w:val="none" w:sz="0" w:space="0" w:color="auto"/>
                    <w:right w:val="none" w:sz="0" w:space="0" w:color="auto"/>
                  </w:divBdr>
                  <w:divsChild>
                    <w:div w:id="2122844989">
                      <w:marLeft w:val="0"/>
                      <w:marRight w:val="150"/>
                      <w:marTop w:val="0"/>
                      <w:marBottom w:val="0"/>
                      <w:divBdr>
                        <w:top w:val="none" w:sz="0" w:space="0" w:color="auto"/>
                        <w:left w:val="none" w:sz="0" w:space="0" w:color="auto"/>
                        <w:bottom w:val="none" w:sz="0" w:space="0" w:color="auto"/>
                        <w:right w:val="none" w:sz="0" w:space="0" w:color="auto"/>
                      </w:divBdr>
                    </w:div>
                  </w:divsChild>
                </w:div>
                <w:div w:id="1886137317">
                  <w:marLeft w:val="0"/>
                  <w:marRight w:val="150"/>
                  <w:marTop w:val="0"/>
                  <w:marBottom w:val="0"/>
                  <w:divBdr>
                    <w:top w:val="none" w:sz="0" w:space="0" w:color="auto"/>
                    <w:left w:val="none" w:sz="0" w:space="0" w:color="auto"/>
                    <w:bottom w:val="none" w:sz="0" w:space="0" w:color="auto"/>
                    <w:right w:val="none" w:sz="0" w:space="0" w:color="auto"/>
                  </w:divBdr>
                  <w:divsChild>
                    <w:div w:id="1499270244">
                      <w:marLeft w:val="0"/>
                      <w:marRight w:val="150"/>
                      <w:marTop w:val="0"/>
                      <w:marBottom w:val="0"/>
                      <w:divBdr>
                        <w:top w:val="none" w:sz="0" w:space="0" w:color="auto"/>
                        <w:left w:val="none" w:sz="0" w:space="0" w:color="auto"/>
                        <w:bottom w:val="none" w:sz="0" w:space="0" w:color="auto"/>
                        <w:right w:val="none" w:sz="0" w:space="0" w:color="auto"/>
                      </w:divBdr>
                    </w:div>
                  </w:divsChild>
                </w:div>
                <w:div w:id="302200552">
                  <w:marLeft w:val="0"/>
                  <w:marRight w:val="150"/>
                  <w:marTop w:val="0"/>
                  <w:marBottom w:val="0"/>
                  <w:divBdr>
                    <w:top w:val="none" w:sz="0" w:space="0" w:color="auto"/>
                    <w:left w:val="none" w:sz="0" w:space="0" w:color="auto"/>
                    <w:bottom w:val="none" w:sz="0" w:space="0" w:color="auto"/>
                    <w:right w:val="none" w:sz="0" w:space="0" w:color="auto"/>
                  </w:divBdr>
                  <w:divsChild>
                    <w:div w:id="81997981">
                      <w:marLeft w:val="0"/>
                      <w:marRight w:val="150"/>
                      <w:marTop w:val="0"/>
                      <w:marBottom w:val="0"/>
                      <w:divBdr>
                        <w:top w:val="none" w:sz="0" w:space="0" w:color="auto"/>
                        <w:left w:val="none" w:sz="0" w:space="0" w:color="auto"/>
                        <w:bottom w:val="none" w:sz="0" w:space="0" w:color="auto"/>
                        <w:right w:val="none" w:sz="0" w:space="0" w:color="auto"/>
                      </w:divBdr>
                    </w:div>
                  </w:divsChild>
                </w:div>
                <w:div w:id="1497957810">
                  <w:marLeft w:val="0"/>
                  <w:marRight w:val="150"/>
                  <w:marTop w:val="0"/>
                  <w:marBottom w:val="0"/>
                  <w:divBdr>
                    <w:top w:val="none" w:sz="0" w:space="0" w:color="auto"/>
                    <w:left w:val="none" w:sz="0" w:space="0" w:color="auto"/>
                    <w:bottom w:val="none" w:sz="0" w:space="0" w:color="auto"/>
                    <w:right w:val="none" w:sz="0" w:space="0" w:color="auto"/>
                  </w:divBdr>
                  <w:divsChild>
                    <w:div w:id="130707056">
                      <w:marLeft w:val="0"/>
                      <w:marRight w:val="150"/>
                      <w:marTop w:val="0"/>
                      <w:marBottom w:val="0"/>
                      <w:divBdr>
                        <w:top w:val="none" w:sz="0" w:space="0" w:color="auto"/>
                        <w:left w:val="none" w:sz="0" w:space="0" w:color="auto"/>
                        <w:bottom w:val="none" w:sz="0" w:space="0" w:color="auto"/>
                        <w:right w:val="none" w:sz="0" w:space="0" w:color="auto"/>
                      </w:divBdr>
                    </w:div>
                  </w:divsChild>
                </w:div>
                <w:div w:id="1814980482">
                  <w:marLeft w:val="0"/>
                  <w:marRight w:val="150"/>
                  <w:marTop w:val="0"/>
                  <w:marBottom w:val="0"/>
                  <w:divBdr>
                    <w:top w:val="none" w:sz="0" w:space="0" w:color="auto"/>
                    <w:left w:val="none" w:sz="0" w:space="0" w:color="auto"/>
                    <w:bottom w:val="none" w:sz="0" w:space="0" w:color="auto"/>
                    <w:right w:val="none" w:sz="0" w:space="0" w:color="auto"/>
                  </w:divBdr>
                  <w:divsChild>
                    <w:div w:id="355624646">
                      <w:marLeft w:val="0"/>
                      <w:marRight w:val="150"/>
                      <w:marTop w:val="0"/>
                      <w:marBottom w:val="0"/>
                      <w:divBdr>
                        <w:top w:val="none" w:sz="0" w:space="0" w:color="auto"/>
                        <w:left w:val="none" w:sz="0" w:space="0" w:color="auto"/>
                        <w:bottom w:val="none" w:sz="0" w:space="0" w:color="auto"/>
                        <w:right w:val="none" w:sz="0" w:space="0" w:color="auto"/>
                      </w:divBdr>
                    </w:div>
                  </w:divsChild>
                </w:div>
                <w:div w:id="18510370">
                  <w:marLeft w:val="0"/>
                  <w:marRight w:val="150"/>
                  <w:marTop w:val="0"/>
                  <w:marBottom w:val="0"/>
                  <w:divBdr>
                    <w:top w:val="none" w:sz="0" w:space="0" w:color="auto"/>
                    <w:left w:val="none" w:sz="0" w:space="0" w:color="auto"/>
                    <w:bottom w:val="none" w:sz="0" w:space="0" w:color="auto"/>
                    <w:right w:val="none" w:sz="0" w:space="0" w:color="auto"/>
                  </w:divBdr>
                  <w:divsChild>
                    <w:div w:id="396904176">
                      <w:marLeft w:val="0"/>
                      <w:marRight w:val="150"/>
                      <w:marTop w:val="0"/>
                      <w:marBottom w:val="0"/>
                      <w:divBdr>
                        <w:top w:val="none" w:sz="0" w:space="0" w:color="auto"/>
                        <w:left w:val="none" w:sz="0" w:space="0" w:color="auto"/>
                        <w:bottom w:val="none" w:sz="0" w:space="0" w:color="auto"/>
                        <w:right w:val="none" w:sz="0" w:space="0" w:color="auto"/>
                      </w:divBdr>
                    </w:div>
                  </w:divsChild>
                </w:div>
                <w:div w:id="1876381089">
                  <w:marLeft w:val="0"/>
                  <w:marRight w:val="150"/>
                  <w:marTop w:val="0"/>
                  <w:marBottom w:val="0"/>
                  <w:divBdr>
                    <w:top w:val="none" w:sz="0" w:space="0" w:color="auto"/>
                    <w:left w:val="none" w:sz="0" w:space="0" w:color="auto"/>
                    <w:bottom w:val="none" w:sz="0" w:space="0" w:color="auto"/>
                    <w:right w:val="none" w:sz="0" w:space="0" w:color="auto"/>
                  </w:divBdr>
                  <w:divsChild>
                    <w:div w:id="6473939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73365791">
          <w:marLeft w:val="0"/>
          <w:marRight w:val="0"/>
          <w:marTop w:val="0"/>
          <w:marBottom w:val="0"/>
          <w:divBdr>
            <w:top w:val="none" w:sz="0" w:space="0" w:color="auto"/>
            <w:left w:val="none" w:sz="0" w:space="0" w:color="auto"/>
            <w:bottom w:val="none" w:sz="0" w:space="0" w:color="auto"/>
            <w:right w:val="none" w:sz="0" w:space="0" w:color="auto"/>
          </w:divBdr>
        </w:div>
        <w:div w:id="977883116">
          <w:marLeft w:val="0"/>
          <w:marRight w:val="0"/>
          <w:marTop w:val="0"/>
          <w:marBottom w:val="0"/>
          <w:divBdr>
            <w:top w:val="none" w:sz="0" w:space="0" w:color="auto"/>
            <w:left w:val="none" w:sz="0" w:space="0" w:color="auto"/>
            <w:bottom w:val="none" w:sz="0" w:space="0" w:color="auto"/>
            <w:right w:val="none" w:sz="0" w:space="0" w:color="auto"/>
          </w:divBdr>
        </w:div>
        <w:div w:id="663169864">
          <w:marLeft w:val="0"/>
          <w:marRight w:val="0"/>
          <w:marTop w:val="0"/>
          <w:marBottom w:val="0"/>
          <w:divBdr>
            <w:top w:val="none" w:sz="0" w:space="0" w:color="auto"/>
            <w:left w:val="none" w:sz="0" w:space="0" w:color="auto"/>
            <w:bottom w:val="none" w:sz="0" w:space="0" w:color="auto"/>
            <w:right w:val="none" w:sz="0" w:space="0" w:color="auto"/>
          </w:divBdr>
        </w:div>
        <w:div w:id="1928229693">
          <w:marLeft w:val="0"/>
          <w:marRight w:val="0"/>
          <w:marTop w:val="0"/>
          <w:marBottom w:val="0"/>
          <w:divBdr>
            <w:top w:val="none" w:sz="0" w:space="0" w:color="auto"/>
            <w:left w:val="none" w:sz="0" w:space="0" w:color="auto"/>
            <w:bottom w:val="none" w:sz="0" w:space="0" w:color="auto"/>
            <w:right w:val="none" w:sz="0" w:space="0" w:color="auto"/>
          </w:divBdr>
        </w:div>
        <w:div w:id="678891733">
          <w:marLeft w:val="0"/>
          <w:marRight w:val="0"/>
          <w:marTop w:val="0"/>
          <w:marBottom w:val="0"/>
          <w:divBdr>
            <w:top w:val="none" w:sz="0" w:space="0" w:color="auto"/>
            <w:left w:val="none" w:sz="0" w:space="0" w:color="auto"/>
            <w:bottom w:val="none" w:sz="0" w:space="0" w:color="auto"/>
            <w:right w:val="none" w:sz="0" w:space="0" w:color="auto"/>
          </w:divBdr>
        </w:div>
        <w:div w:id="971053981">
          <w:marLeft w:val="0"/>
          <w:marRight w:val="0"/>
          <w:marTop w:val="0"/>
          <w:marBottom w:val="0"/>
          <w:divBdr>
            <w:top w:val="none" w:sz="0" w:space="0" w:color="auto"/>
            <w:left w:val="none" w:sz="0" w:space="0" w:color="auto"/>
            <w:bottom w:val="none" w:sz="0" w:space="0" w:color="auto"/>
            <w:right w:val="none" w:sz="0" w:space="0" w:color="auto"/>
          </w:divBdr>
        </w:div>
        <w:div w:id="1991011584">
          <w:marLeft w:val="0"/>
          <w:marRight w:val="0"/>
          <w:marTop w:val="0"/>
          <w:marBottom w:val="0"/>
          <w:divBdr>
            <w:top w:val="none" w:sz="0" w:space="0" w:color="auto"/>
            <w:left w:val="none" w:sz="0" w:space="0" w:color="auto"/>
            <w:bottom w:val="none" w:sz="0" w:space="0" w:color="auto"/>
            <w:right w:val="none" w:sz="0" w:space="0" w:color="auto"/>
          </w:divBdr>
        </w:div>
        <w:div w:id="1046374569">
          <w:marLeft w:val="0"/>
          <w:marRight w:val="0"/>
          <w:marTop w:val="0"/>
          <w:marBottom w:val="0"/>
          <w:divBdr>
            <w:top w:val="none" w:sz="0" w:space="0" w:color="auto"/>
            <w:left w:val="none" w:sz="0" w:space="0" w:color="auto"/>
            <w:bottom w:val="none" w:sz="0" w:space="0" w:color="auto"/>
            <w:right w:val="none" w:sz="0" w:space="0" w:color="auto"/>
          </w:divBdr>
        </w:div>
        <w:div w:id="1257208202">
          <w:marLeft w:val="0"/>
          <w:marRight w:val="0"/>
          <w:marTop w:val="0"/>
          <w:marBottom w:val="0"/>
          <w:divBdr>
            <w:top w:val="none" w:sz="0" w:space="0" w:color="auto"/>
            <w:left w:val="none" w:sz="0" w:space="0" w:color="auto"/>
            <w:bottom w:val="none" w:sz="0" w:space="0" w:color="auto"/>
            <w:right w:val="none" w:sz="0" w:space="0" w:color="auto"/>
          </w:divBdr>
        </w:div>
        <w:div w:id="1318612952">
          <w:marLeft w:val="0"/>
          <w:marRight w:val="0"/>
          <w:marTop w:val="0"/>
          <w:marBottom w:val="0"/>
          <w:divBdr>
            <w:top w:val="none" w:sz="0" w:space="0" w:color="auto"/>
            <w:left w:val="none" w:sz="0" w:space="0" w:color="auto"/>
            <w:bottom w:val="none" w:sz="0" w:space="0" w:color="auto"/>
            <w:right w:val="none" w:sz="0" w:space="0" w:color="auto"/>
          </w:divBdr>
        </w:div>
        <w:div w:id="1657761530">
          <w:marLeft w:val="0"/>
          <w:marRight w:val="0"/>
          <w:marTop w:val="0"/>
          <w:marBottom w:val="0"/>
          <w:divBdr>
            <w:top w:val="none" w:sz="0" w:space="0" w:color="auto"/>
            <w:left w:val="none" w:sz="0" w:space="0" w:color="auto"/>
            <w:bottom w:val="none" w:sz="0" w:space="0" w:color="auto"/>
            <w:right w:val="none" w:sz="0" w:space="0" w:color="auto"/>
          </w:divBdr>
        </w:div>
        <w:div w:id="670642365">
          <w:marLeft w:val="0"/>
          <w:marRight w:val="0"/>
          <w:marTop w:val="0"/>
          <w:marBottom w:val="0"/>
          <w:divBdr>
            <w:top w:val="none" w:sz="0" w:space="0" w:color="auto"/>
            <w:left w:val="none" w:sz="0" w:space="0" w:color="auto"/>
            <w:bottom w:val="none" w:sz="0" w:space="0" w:color="auto"/>
            <w:right w:val="none" w:sz="0" w:space="0" w:color="auto"/>
          </w:divBdr>
        </w:div>
        <w:div w:id="1461997288">
          <w:marLeft w:val="0"/>
          <w:marRight w:val="0"/>
          <w:marTop w:val="0"/>
          <w:marBottom w:val="0"/>
          <w:divBdr>
            <w:top w:val="none" w:sz="0" w:space="0" w:color="auto"/>
            <w:left w:val="none" w:sz="0" w:space="0" w:color="auto"/>
            <w:bottom w:val="none" w:sz="0" w:space="0" w:color="auto"/>
            <w:right w:val="none" w:sz="0" w:space="0" w:color="auto"/>
          </w:divBdr>
        </w:div>
        <w:div w:id="1237396934">
          <w:marLeft w:val="0"/>
          <w:marRight w:val="0"/>
          <w:marTop w:val="0"/>
          <w:marBottom w:val="0"/>
          <w:divBdr>
            <w:top w:val="none" w:sz="0" w:space="0" w:color="auto"/>
            <w:left w:val="none" w:sz="0" w:space="0" w:color="auto"/>
            <w:bottom w:val="none" w:sz="0" w:space="0" w:color="auto"/>
            <w:right w:val="none" w:sz="0" w:space="0" w:color="auto"/>
          </w:divBdr>
        </w:div>
        <w:div w:id="196898562">
          <w:marLeft w:val="0"/>
          <w:marRight w:val="0"/>
          <w:marTop w:val="0"/>
          <w:marBottom w:val="0"/>
          <w:divBdr>
            <w:top w:val="none" w:sz="0" w:space="0" w:color="auto"/>
            <w:left w:val="none" w:sz="0" w:space="0" w:color="auto"/>
            <w:bottom w:val="none" w:sz="0" w:space="0" w:color="auto"/>
            <w:right w:val="none" w:sz="0" w:space="0" w:color="auto"/>
          </w:divBdr>
        </w:div>
        <w:div w:id="1141965792">
          <w:marLeft w:val="0"/>
          <w:marRight w:val="0"/>
          <w:marTop w:val="0"/>
          <w:marBottom w:val="0"/>
          <w:divBdr>
            <w:top w:val="none" w:sz="0" w:space="0" w:color="auto"/>
            <w:left w:val="none" w:sz="0" w:space="0" w:color="auto"/>
            <w:bottom w:val="none" w:sz="0" w:space="0" w:color="auto"/>
            <w:right w:val="none" w:sz="0" w:space="0" w:color="auto"/>
          </w:divBdr>
        </w:div>
        <w:div w:id="965310578">
          <w:marLeft w:val="0"/>
          <w:marRight w:val="0"/>
          <w:marTop w:val="0"/>
          <w:marBottom w:val="0"/>
          <w:divBdr>
            <w:top w:val="none" w:sz="0" w:space="0" w:color="auto"/>
            <w:left w:val="none" w:sz="0" w:space="0" w:color="auto"/>
            <w:bottom w:val="none" w:sz="0" w:space="0" w:color="auto"/>
            <w:right w:val="none" w:sz="0" w:space="0" w:color="auto"/>
          </w:divBdr>
        </w:div>
        <w:div w:id="1531145751">
          <w:marLeft w:val="0"/>
          <w:marRight w:val="0"/>
          <w:marTop w:val="0"/>
          <w:marBottom w:val="0"/>
          <w:divBdr>
            <w:top w:val="none" w:sz="0" w:space="0" w:color="auto"/>
            <w:left w:val="none" w:sz="0" w:space="0" w:color="auto"/>
            <w:bottom w:val="none" w:sz="0" w:space="0" w:color="auto"/>
            <w:right w:val="none" w:sz="0" w:space="0" w:color="auto"/>
          </w:divBdr>
        </w:div>
        <w:div w:id="316148937">
          <w:marLeft w:val="0"/>
          <w:marRight w:val="0"/>
          <w:marTop w:val="0"/>
          <w:marBottom w:val="0"/>
          <w:divBdr>
            <w:top w:val="none" w:sz="0" w:space="0" w:color="auto"/>
            <w:left w:val="none" w:sz="0" w:space="0" w:color="auto"/>
            <w:bottom w:val="none" w:sz="0" w:space="0" w:color="auto"/>
            <w:right w:val="none" w:sz="0" w:space="0" w:color="auto"/>
          </w:divBdr>
        </w:div>
        <w:div w:id="169566080">
          <w:marLeft w:val="0"/>
          <w:marRight w:val="0"/>
          <w:marTop w:val="0"/>
          <w:marBottom w:val="0"/>
          <w:divBdr>
            <w:top w:val="none" w:sz="0" w:space="0" w:color="auto"/>
            <w:left w:val="none" w:sz="0" w:space="0" w:color="auto"/>
            <w:bottom w:val="none" w:sz="0" w:space="0" w:color="auto"/>
            <w:right w:val="none" w:sz="0" w:space="0" w:color="auto"/>
          </w:divBdr>
        </w:div>
        <w:div w:id="1569266431">
          <w:marLeft w:val="0"/>
          <w:marRight w:val="0"/>
          <w:marTop w:val="0"/>
          <w:marBottom w:val="0"/>
          <w:divBdr>
            <w:top w:val="none" w:sz="0" w:space="0" w:color="auto"/>
            <w:left w:val="none" w:sz="0" w:space="0" w:color="auto"/>
            <w:bottom w:val="none" w:sz="0" w:space="0" w:color="auto"/>
            <w:right w:val="none" w:sz="0" w:space="0" w:color="auto"/>
          </w:divBdr>
        </w:div>
        <w:div w:id="966818042">
          <w:marLeft w:val="0"/>
          <w:marRight w:val="0"/>
          <w:marTop w:val="0"/>
          <w:marBottom w:val="0"/>
          <w:divBdr>
            <w:top w:val="none" w:sz="0" w:space="0" w:color="auto"/>
            <w:left w:val="none" w:sz="0" w:space="0" w:color="auto"/>
            <w:bottom w:val="none" w:sz="0" w:space="0" w:color="auto"/>
            <w:right w:val="none" w:sz="0" w:space="0" w:color="auto"/>
          </w:divBdr>
        </w:div>
        <w:div w:id="893079144">
          <w:marLeft w:val="0"/>
          <w:marRight w:val="0"/>
          <w:marTop w:val="0"/>
          <w:marBottom w:val="0"/>
          <w:divBdr>
            <w:top w:val="none" w:sz="0" w:space="0" w:color="auto"/>
            <w:left w:val="none" w:sz="0" w:space="0" w:color="auto"/>
            <w:bottom w:val="none" w:sz="0" w:space="0" w:color="auto"/>
            <w:right w:val="none" w:sz="0" w:space="0" w:color="auto"/>
          </w:divBdr>
        </w:div>
        <w:div w:id="489292889">
          <w:marLeft w:val="0"/>
          <w:marRight w:val="0"/>
          <w:marTop w:val="0"/>
          <w:marBottom w:val="0"/>
          <w:divBdr>
            <w:top w:val="none" w:sz="0" w:space="0" w:color="auto"/>
            <w:left w:val="none" w:sz="0" w:space="0" w:color="auto"/>
            <w:bottom w:val="none" w:sz="0" w:space="0" w:color="auto"/>
            <w:right w:val="none" w:sz="0" w:space="0" w:color="auto"/>
          </w:divBdr>
        </w:div>
        <w:div w:id="1235044778">
          <w:marLeft w:val="0"/>
          <w:marRight w:val="0"/>
          <w:marTop w:val="0"/>
          <w:marBottom w:val="0"/>
          <w:divBdr>
            <w:top w:val="none" w:sz="0" w:space="0" w:color="auto"/>
            <w:left w:val="none" w:sz="0" w:space="0" w:color="auto"/>
            <w:bottom w:val="none" w:sz="0" w:space="0" w:color="auto"/>
            <w:right w:val="none" w:sz="0" w:space="0" w:color="auto"/>
          </w:divBdr>
        </w:div>
        <w:div w:id="454106711">
          <w:marLeft w:val="0"/>
          <w:marRight w:val="0"/>
          <w:marTop w:val="0"/>
          <w:marBottom w:val="0"/>
          <w:divBdr>
            <w:top w:val="none" w:sz="0" w:space="0" w:color="auto"/>
            <w:left w:val="none" w:sz="0" w:space="0" w:color="auto"/>
            <w:bottom w:val="none" w:sz="0" w:space="0" w:color="auto"/>
            <w:right w:val="none" w:sz="0" w:space="0" w:color="auto"/>
          </w:divBdr>
        </w:div>
        <w:div w:id="2109082458">
          <w:marLeft w:val="0"/>
          <w:marRight w:val="0"/>
          <w:marTop w:val="0"/>
          <w:marBottom w:val="0"/>
          <w:divBdr>
            <w:top w:val="none" w:sz="0" w:space="0" w:color="auto"/>
            <w:left w:val="none" w:sz="0" w:space="0" w:color="auto"/>
            <w:bottom w:val="none" w:sz="0" w:space="0" w:color="auto"/>
            <w:right w:val="none" w:sz="0" w:space="0" w:color="auto"/>
          </w:divBdr>
        </w:div>
        <w:div w:id="383987134">
          <w:marLeft w:val="0"/>
          <w:marRight w:val="0"/>
          <w:marTop w:val="0"/>
          <w:marBottom w:val="0"/>
          <w:divBdr>
            <w:top w:val="none" w:sz="0" w:space="0" w:color="auto"/>
            <w:left w:val="none" w:sz="0" w:space="0" w:color="auto"/>
            <w:bottom w:val="none" w:sz="0" w:space="0" w:color="auto"/>
            <w:right w:val="none" w:sz="0" w:space="0" w:color="auto"/>
          </w:divBdr>
        </w:div>
        <w:div w:id="1667123799">
          <w:marLeft w:val="0"/>
          <w:marRight w:val="0"/>
          <w:marTop w:val="0"/>
          <w:marBottom w:val="0"/>
          <w:divBdr>
            <w:top w:val="none" w:sz="0" w:space="0" w:color="auto"/>
            <w:left w:val="none" w:sz="0" w:space="0" w:color="auto"/>
            <w:bottom w:val="none" w:sz="0" w:space="0" w:color="auto"/>
            <w:right w:val="none" w:sz="0" w:space="0" w:color="auto"/>
          </w:divBdr>
        </w:div>
        <w:div w:id="63534152">
          <w:marLeft w:val="0"/>
          <w:marRight w:val="0"/>
          <w:marTop w:val="0"/>
          <w:marBottom w:val="0"/>
          <w:divBdr>
            <w:top w:val="none" w:sz="0" w:space="0" w:color="auto"/>
            <w:left w:val="none" w:sz="0" w:space="0" w:color="auto"/>
            <w:bottom w:val="none" w:sz="0" w:space="0" w:color="auto"/>
            <w:right w:val="none" w:sz="0" w:space="0" w:color="auto"/>
          </w:divBdr>
        </w:div>
        <w:div w:id="241525356">
          <w:marLeft w:val="0"/>
          <w:marRight w:val="0"/>
          <w:marTop w:val="0"/>
          <w:marBottom w:val="0"/>
          <w:divBdr>
            <w:top w:val="none" w:sz="0" w:space="0" w:color="auto"/>
            <w:left w:val="none" w:sz="0" w:space="0" w:color="auto"/>
            <w:bottom w:val="none" w:sz="0" w:space="0" w:color="auto"/>
            <w:right w:val="none" w:sz="0" w:space="0" w:color="auto"/>
          </w:divBdr>
        </w:div>
        <w:div w:id="1734574028">
          <w:marLeft w:val="0"/>
          <w:marRight w:val="0"/>
          <w:marTop w:val="0"/>
          <w:marBottom w:val="0"/>
          <w:divBdr>
            <w:top w:val="none" w:sz="0" w:space="0" w:color="auto"/>
            <w:left w:val="none" w:sz="0" w:space="0" w:color="auto"/>
            <w:bottom w:val="none" w:sz="0" w:space="0" w:color="auto"/>
            <w:right w:val="none" w:sz="0" w:space="0" w:color="auto"/>
          </w:divBdr>
        </w:div>
        <w:div w:id="1948270469">
          <w:marLeft w:val="0"/>
          <w:marRight w:val="0"/>
          <w:marTop w:val="0"/>
          <w:marBottom w:val="0"/>
          <w:divBdr>
            <w:top w:val="none" w:sz="0" w:space="0" w:color="auto"/>
            <w:left w:val="none" w:sz="0" w:space="0" w:color="auto"/>
            <w:bottom w:val="none" w:sz="0" w:space="0" w:color="auto"/>
            <w:right w:val="none" w:sz="0" w:space="0" w:color="auto"/>
          </w:divBdr>
        </w:div>
        <w:div w:id="1896620048">
          <w:marLeft w:val="0"/>
          <w:marRight w:val="0"/>
          <w:marTop w:val="0"/>
          <w:marBottom w:val="0"/>
          <w:divBdr>
            <w:top w:val="none" w:sz="0" w:space="0" w:color="auto"/>
            <w:left w:val="none" w:sz="0" w:space="0" w:color="auto"/>
            <w:bottom w:val="none" w:sz="0" w:space="0" w:color="auto"/>
            <w:right w:val="none" w:sz="0" w:space="0" w:color="auto"/>
          </w:divBdr>
        </w:div>
        <w:div w:id="169417083">
          <w:marLeft w:val="0"/>
          <w:marRight w:val="0"/>
          <w:marTop w:val="0"/>
          <w:marBottom w:val="0"/>
          <w:divBdr>
            <w:top w:val="none" w:sz="0" w:space="0" w:color="auto"/>
            <w:left w:val="none" w:sz="0" w:space="0" w:color="auto"/>
            <w:bottom w:val="none" w:sz="0" w:space="0" w:color="auto"/>
            <w:right w:val="none" w:sz="0" w:space="0" w:color="auto"/>
          </w:divBdr>
        </w:div>
        <w:div w:id="125128806">
          <w:marLeft w:val="0"/>
          <w:marRight w:val="0"/>
          <w:marTop w:val="0"/>
          <w:marBottom w:val="0"/>
          <w:divBdr>
            <w:top w:val="none" w:sz="0" w:space="0" w:color="auto"/>
            <w:left w:val="none" w:sz="0" w:space="0" w:color="auto"/>
            <w:bottom w:val="none" w:sz="0" w:space="0" w:color="auto"/>
            <w:right w:val="none" w:sz="0" w:space="0" w:color="auto"/>
          </w:divBdr>
        </w:div>
        <w:div w:id="1977644473">
          <w:marLeft w:val="0"/>
          <w:marRight w:val="0"/>
          <w:marTop w:val="0"/>
          <w:marBottom w:val="0"/>
          <w:divBdr>
            <w:top w:val="none" w:sz="0" w:space="0" w:color="auto"/>
            <w:left w:val="none" w:sz="0" w:space="0" w:color="auto"/>
            <w:bottom w:val="none" w:sz="0" w:space="0" w:color="auto"/>
            <w:right w:val="none" w:sz="0" w:space="0" w:color="auto"/>
          </w:divBdr>
        </w:div>
        <w:div w:id="1420250567">
          <w:marLeft w:val="0"/>
          <w:marRight w:val="0"/>
          <w:marTop w:val="0"/>
          <w:marBottom w:val="0"/>
          <w:divBdr>
            <w:top w:val="none" w:sz="0" w:space="0" w:color="auto"/>
            <w:left w:val="none" w:sz="0" w:space="0" w:color="auto"/>
            <w:bottom w:val="none" w:sz="0" w:space="0" w:color="auto"/>
            <w:right w:val="none" w:sz="0" w:space="0" w:color="auto"/>
          </w:divBdr>
        </w:div>
        <w:div w:id="1935896424">
          <w:marLeft w:val="0"/>
          <w:marRight w:val="0"/>
          <w:marTop w:val="0"/>
          <w:marBottom w:val="0"/>
          <w:divBdr>
            <w:top w:val="none" w:sz="0" w:space="0" w:color="auto"/>
            <w:left w:val="none" w:sz="0" w:space="0" w:color="auto"/>
            <w:bottom w:val="none" w:sz="0" w:space="0" w:color="auto"/>
            <w:right w:val="none" w:sz="0" w:space="0" w:color="auto"/>
          </w:divBdr>
        </w:div>
        <w:div w:id="159128390">
          <w:marLeft w:val="0"/>
          <w:marRight w:val="0"/>
          <w:marTop w:val="0"/>
          <w:marBottom w:val="0"/>
          <w:divBdr>
            <w:top w:val="none" w:sz="0" w:space="0" w:color="auto"/>
            <w:left w:val="none" w:sz="0" w:space="0" w:color="auto"/>
            <w:bottom w:val="none" w:sz="0" w:space="0" w:color="auto"/>
            <w:right w:val="none" w:sz="0" w:space="0" w:color="auto"/>
          </w:divBdr>
        </w:div>
      </w:divsChild>
    </w:div>
    <w:div w:id="1379433646">
      <w:bodyDiv w:val="1"/>
      <w:marLeft w:val="0"/>
      <w:marRight w:val="0"/>
      <w:marTop w:val="0"/>
      <w:marBottom w:val="0"/>
      <w:divBdr>
        <w:top w:val="none" w:sz="0" w:space="0" w:color="auto"/>
        <w:left w:val="none" w:sz="0" w:space="0" w:color="auto"/>
        <w:bottom w:val="none" w:sz="0" w:space="0" w:color="auto"/>
        <w:right w:val="none" w:sz="0" w:space="0" w:color="auto"/>
      </w:divBdr>
      <w:divsChild>
        <w:div w:id="865679400">
          <w:marLeft w:val="0"/>
          <w:marRight w:val="0"/>
          <w:marTop w:val="0"/>
          <w:marBottom w:val="0"/>
          <w:divBdr>
            <w:top w:val="none" w:sz="0" w:space="0" w:color="auto"/>
            <w:left w:val="none" w:sz="0" w:space="0" w:color="auto"/>
            <w:bottom w:val="none" w:sz="0" w:space="0" w:color="auto"/>
            <w:right w:val="none" w:sz="0" w:space="0" w:color="auto"/>
          </w:divBdr>
          <w:divsChild>
            <w:div w:id="2032140780">
              <w:marLeft w:val="0"/>
              <w:marRight w:val="0"/>
              <w:marTop w:val="0"/>
              <w:marBottom w:val="0"/>
              <w:divBdr>
                <w:top w:val="none" w:sz="0" w:space="0" w:color="auto"/>
                <w:left w:val="none" w:sz="0" w:space="0" w:color="auto"/>
                <w:bottom w:val="none" w:sz="0" w:space="0" w:color="auto"/>
                <w:right w:val="none" w:sz="0" w:space="0" w:color="auto"/>
              </w:divBdr>
              <w:divsChild>
                <w:div w:id="1942641688">
                  <w:marLeft w:val="0"/>
                  <w:marRight w:val="150"/>
                  <w:marTop w:val="0"/>
                  <w:marBottom w:val="0"/>
                  <w:divBdr>
                    <w:top w:val="none" w:sz="0" w:space="0" w:color="auto"/>
                    <w:left w:val="none" w:sz="0" w:space="0" w:color="auto"/>
                    <w:bottom w:val="none" w:sz="0" w:space="0" w:color="auto"/>
                    <w:right w:val="none" w:sz="0" w:space="0" w:color="auto"/>
                  </w:divBdr>
                  <w:divsChild>
                    <w:div w:id="408697066">
                      <w:marLeft w:val="0"/>
                      <w:marRight w:val="150"/>
                      <w:marTop w:val="0"/>
                      <w:marBottom w:val="0"/>
                      <w:divBdr>
                        <w:top w:val="none" w:sz="0" w:space="0" w:color="auto"/>
                        <w:left w:val="none" w:sz="0" w:space="0" w:color="auto"/>
                        <w:bottom w:val="none" w:sz="0" w:space="0" w:color="auto"/>
                        <w:right w:val="none" w:sz="0" w:space="0" w:color="auto"/>
                      </w:divBdr>
                    </w:div>
                  </w:divsChild>
                </w:div>
                <w:div w:id="564144431">
                  <w:marLeft w:val="0"/>
                  <w:marRight w:val="150"/>
                  <w:marTop w:val="0"/>
                  <w:marBottom w:val="0"/>
                  <w:divBdr>
                    <w:top w:val="none" w:sz="0" w:space="0" w:color="auto"/>
                    <w:left w:val="none" w:sz="0" w:space="0" w:color="auto"/>
                    <w:bottom w:val="none" w:sz="0" w:space="0" w:color="auto"/>
                    <w:right w:val="none" w:sz="0" w:space="0" w:color="auto"/>
                  </w:divBdr>
                  <w:divsChild>
                    <w:div w:id="944269330">
                      <w:marLeft w:val="0"/>
                      <w:marRight w:val="150"/>
                      <w:marTop w:val="0"/>
                      <w:marBottom w:val="0"/>
                      <w:divBdr>
                        <w:top w:val="none" w:sz="0" w:space="0" w:color="auto"/>
                        <w:left w:val="none" w:sz="0" w:space="0" w:color="auto"/>
                        <w:bottom w:val="none" w:sz="0" w:space="0" w:color="auto"/>
                        <w:right w:val="none" w:sz="0" w:space="0" w:color="auto"/>
                      </w:divBdr>
                    </w:div>
                  </w:divsChild>
                </w:div>
                <w:div w:id="469515336">
                  <w:marLeft w:val="0"/>
                  <w:marRight w:val="150"/>
                  <w:marTop w:val="0"/>
                  <w:marBottom w:val="0"/>
                  <w:divBdr>
                    <w:top w:val="none" w:sz="0" w:space="0" w:color="auto"/>
                    <w:left w:val="none" w:sz="0" w:space="0" w:color="auto"/>
                    <w:bottom w:val="none" w:sz="0" w:space="0" w:color="auto"/>
                    <w:right w:val="none" w:sz="0" w:space="0" w:color="auto"/>
                  </w:divBdr>
                  <w:divsChild>
                    <w:div w:id="49038785">
                      <w:marLeft w:val="0"/>
                      <w:marRight w:val="150"/>
                      <w:marTop w:val="0"/>
                      <w:marBottom w:val="0"/>
                      <w:divBdr>
                        <w:top w:val="none" w:sz="0" w:space="0" w:color="auto"/>
                        <w:left w:val="none" w:sz="0" w:space="0" w:color="auto"/>
                        <w:bottom w:val="none" w:sz="0" w:space="0" w:color="auto"/>
                        <w:right w:val="none" w:sz="0" w:space="0" w:color="auto"/>
                      </w:divBdr>
                    </w:div>
                  </w:divsChild>
                </w:div>
                <w:div w:id="324826170">
                  <w:marLeft w:val="0"/>
                  <w:marRight w:val="150"/>
                  <w:marTop w:val="0"/>
                  <w:marBottom w:val="0"/>
                  <w:divBdr>
                    <w:top w:val="none" w:sz="0" w:space="0" w:color="auto"/>
                    <w:left w:val="none" w:sz="0" w:space="0" w:color="auto"/>
                    <w:bottom w:val="none" w:sz="0" w:space="0" w:color="auto"/>
                    <w:right w:val="none" w:sz="0" w:space="0" w:color="auto"/>
                  </w:divBdr>
                  <w:divsChild>
                    <w:div w:id="515778363">
                      <w:marLeft w:val="0"/>
                      <w:marRight w:val="150"/>
                      <w:marTop w:val="0"/>
                      <w:marBottom w:val="0"/>
                      <w:divBdr>
                        <w:top w:val="none" w:sz="0" w:space="0" w:color="auto"/>
                        <w:left w:val="none" w:sz="0" w:space="0" w:color="auto"/>
                        <w:bottom w:val="none" w:sz="0" w:space="0" w:color="auto"/>
                        <w:right w:val="none" w:sz="0" w:space="0" w:color="auto"/>
                      </w:divBdr>
                    </w:div>
                  </w:divsChild>
                </w:div>
                <w:div w:id="751514241">
                  <w:marLeft w:val="0"/>
                  <w:marRight w:val="150"/>
                  <w:marTop w:val="0"/>
                  <w:marBottom w:val="0"/>
                  <w:divBdr>
                    <w:top w:val="none" w:sz="0" w:space="0" w:color="auto"/>
                    <w:left w:val="none" w:sz="0" w:space="0" w:color="auto"/>
                    <w:bottom w:val="none" w:sz="0" w:space="0" w:color="auto"/>
                    <w:right w:val="none" w:sz="0" w:space="0" w:color="auto"/>
                  </w:divBdr>
                  <w:divsChild>
                    <w:div w:id="173882150">
                      <w:marLeft w:val="0"/>
                      <w:marRight w:val="150"/>
                      <w:marTop w:val="0"/>
                      <w:marBottom w:val="0"/>
                      <w:divBdr>
                        <w:top w:val="none" w:sz="0" w:space="0" w:color="auto"/>
                        <w:left w:val="none" w:sz="0" w:space="0" w:color="auto"/>
                        <w:bottom w:val="none" w:sz="0" w:space="0" w:color="auto"/>
                        <w:right w:val="none" w:sz="0" w:space="0" w:color="auto"/>
                      </w:divBdr>
                    </w:div>
                  </w:divsChild>
                </w:div>
                <w:div w:id="333186410">
                  <w:marLeft w:val="0"/>
                  <w:marRight w:val="150"/>
                  <w:marTop w:val="0"/>
                  <w:marBottom w:val="0"/>
                  <w:divBdr>
                    <w:top w:val="none" w:sz="0" w:space="0" w:color="auto"/>
                    <w:left w:val="none" w:sz="0" w:space="0" w:color="auto"/>
                    <w:bottom w:val="none" w:sz="0" w:space="0" w:color="auto"/>
                    <w:right w:val="none" w:sz="0" w:space="0" w:color="auto"/>
                  </w:divBdr>
                  <w:divsChild>
                    <w:div w:id="131947297">
                      <w:marLeft w:val="0"/>
                      <w:marRight w:val="150"/>
                      <w:marTop w:val="0"/>
                      <w:marBottom w:val="0"/>
                      <w:divBdr>
                        <w:top w:val="none" w:sz="0" w:space="0" w:color="auto"/>
                        <w:left w:val="none" w:sz="0" w:space="0" w:color="auto"/>
                        <w:bottom w:val="none" w:sz="0" w:space="0" w:color="auto"/>
                        <w:right w:val="none" w:sz="0" w:space="0" w:color="auto"/>
                      </w:divBdr>
                    </w:div>
                  </w:divsChild>
                </w:div>
                <w:div w:id="2023703112">
                  <w:marLeft w:val="0"/>
                  <w:marRight w:val="150"/>
                  <w:marTop w:val="0"/>
                  <w:marBottom w:val="0"/>
                  <w:divBdr>
                    <w:top w:val="none" w:sz="0" w:space="0" w:color="auto"/>
                    <w:left w:val="none" w:sz="0" w:space="0" w:color="auto"/>
                    <w:bottom w:val="none" w:sz="0" w:space="0" w:color="auto"/>
                    <w:right w:val="none" w:sz="0" w:space="0" w:color="auto"/>
                  </w:divBdr>
                  <w:divsChild>
                    <w:div w:id="968709850">
                      <w:marLeft w:val="0"/>
                      <w:marRight w:val="150"/>
                      <w:marTop w:val="0"/>
                      <w:marBottom w:val="0"/>
                      <w:divBdr>
                        <w:top w:val="none" w:sz="0" w:space="0" w:color="auto"/>
                        <w:left w:val="none" w:sz="0" w:space="0" w:color="auto"/>
                        <w:bottom w:val="none" w:sz="0" w:space="0" w:color="auto"/>
                        <w:right w:val="none" w:sz="0" w:space="0" w:color="auto"/>
                      </w:divBdr>
                    </w:div>
                  </w:divsChild>
                </w:div>
                <w:div w:id="1287542470">
                  <w:marLeft w:val="0"/>
                  <w:marRight w:val="150"/>
                  <w:marTop w:val="0"/>
                  <w:marBottom w:val="0"/>
                  <w:divBdr>
                    <w:top w:val="none" w:sz="0" w:space="0" w:color="auto"/>
                    <w:left w:val="none" w:sz="0" w:space="0" w:color="auto"/>
                    <w:bottom w:val="none" w:sz="0" w:space="0" w:color="auto"/>
                    <w:right w:val="none" w:sz="0" w:space="0" w:color="auto"/>
                  </w:divBdr>
                  <w:divsChild>
                    <w:div w:id="16772709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712921765">
          <w:marLeft w:val="0"/>
          <w:marRight w:val="0"/>
          <w:marTop w:val="0"/>
          <w:marBottom w:val="0"/>
          <w:divBdr>
            <w:top w:val="none" w:sz="0" w:space="0" w:color="auto"/>
            <w:left w:val="none" w:sz="0" w:space="0" w:color="auto"/>
            <w:bottom w:val="none" w:sz="0" w:space="0" w:color="auto"/>
            <w:right w:val="none" w:sz="0" w:space="0" w:color="auto"/>
          </w:divBdr>
        </w:div>
        <w:div w:id="49811746">
          <w:marLeft w:val="0"/>
          <w:marRight w:val="0"/>
          <w:marTop w:val="0"/>
          <w:marBottom w:val="0"/>
          <w:divBdr>
            <w:top w:val="none" w:sz="0" w:space="0" w:color="auto"/>
            <w:left w:val="none" w:sz="0" w:space="0" w:color="auto"/>
            <w:bottom w:val="none" w:sz="0" w:space="0" w:color="auto"/>
            <w:right w:val="none" w:sz="0" w:space="0" w:color="auto"/>
          </w:divBdr>
        </w:div>
        <w:div w:id="1343781124">
          <w:marLeft w:val="0"/>
          <w:marRight w:val="0"/>
          <w:marTop w:val="0"/>
          <w:marBottom w:val="0"/>
          <w:divBdr>
            <w:top w:val="none" w:sz="0" w:space="0" w:color="auto"/>
            <w:left w:val="none" w:sz="0" w:space="0" w:color="auto"/>
            <w:bottom w:val="none" w:sz="0" w:space="0" w:color="auto"/>
            <w:right w:val="none" w:sz="0" w:space="0" w:color="auto"/>
          </w:divBdr>
        </w:div>
        <w:div w:id="833107169">
          <w:marLeft w:val="0"/>
          <w:marRight w:val="0"/>
          <w:marTop w:val="0"/>
          <w:marBottom w:val="0"/>
          <w:divBdr>
            <w:top w:val="none" w:sz="0" w:space="0" w:color="auto"/>
            <w:left w:val="none" w:sz="0" w:space="0" w:color="auto"/>
            <w:bottom w:val="none" w:sz="0" w:space="0" w:color="auto"/>
            <w:right w:val="none" w:sz="0" w:space="0" w:color="auto"/>
          </w:divBdr>
        </w:div>
        <w:div w:id="777869667">
          <w:marLeft w:val="0"/>
          <w:marRight w:val="0"/>
          <w:marTop w:val="0"/>
          <w:marBottom w:val="0"/>
          <w:divBdr>
            <w:top w:val="none" w:sz="0" w:space="0" w:color="auto"/>
            <w:left w:val="none" w:sz="0" w:space="0" w:color="auto"/>
            <w:bottom w:val="none" w:sz="0" w:space="0" w:color="auto"/>
            <w:right w:val="none" w:sz="0" w:space="0" w:color="auto"/>
          </w:divBdr>
        </w:div>
        <w:div w:id="1403214389">
          <w:marLeft w:val="0"/>
          <w:marRight w:val="0"/>
          <w:marTop w:val="0"/>
          <w:marBottom w:val="0"/>
          <w:divBdr>
            <w:top w:val="none" w:sz="0" w:space="0" w:color="auto"/>
            <w:left w:val="none" w:sz="0" w:space="0" w:color="auto"/>
            <w:bottom w:val="none" w:sz="0" w:space="0" w:color="auto"/>
            <w:right w:val="none" w:sz="0" w:space="0" w:color="auto"/>
          </w:divBdr>
        </w:div>
        <w:div w:id="890964679">
          <w:marLeft w:val="0"/>
          <w:marRight w:val="0"/>
          <w:marTop w:val="0"/>
          <w:marBottom w:val="0"/>
          <w:divBdr>
            <w:top w:val="none" w:sz="0" w:space="0" w:color="auto"/>
            <w:left w:val="none" w:sz="0" w:space="0" w:color="auto"/>
            <w:bottom w:val="none" w:sz="0" w:space="0" w:color="auto"/>
            <w:right w:val="none" w:sz="0" w:space="0" w:color="auto"/>
          </w:divBdr>
        </w:div>
        <w:div w:id="1848783608">
          <w:marLeft w:val="0"/>
          <w:marRight w:val="0"/>
          <w:marTop w:val="0"/>
          <w:marBottom w:val="0"/>
          <w:divBdr>
            <w:top w:val="none" w:sz="0" w:space="0" w:color="auto"/>
            <w:left w:val="none" w:sz="0" w:space="0" w:color="auto"/>
            <w:bottom w:val="none" w:sz="0" w:space="0" w:color="auto"/>
            <w:right w:val="none" w:sz="0" w:space="0" w:color="auto"/>
          </w:divBdr>
        </w:div>
        <w:div w:id="1816751172">
          <w:marLeft w:val="0"/>
          <w:marRight w:val="0"/>
          <w:marTop w:val="0"/>
          <w:marBottom w:val="0"/>
          <w:divBdr>
            <w:top w:val="none" w:sz="0" w:space="0" w:color="auto"/>
            <w:left w:val="none" w:sz="0" w:space="0" w:color="auto"/>
            <w:bottom w:val="none" w:sz="0" w:space="0" w:color="auto"/>
            <w:right w:val="none" w:sz="0" w:space="0" w:color="auto"/>
          </w:divBdr>
        </w:div>
        <w:div w:id="220485050">
          <w:marLeft w:val="0"/>
          <w:marRight w:val="0"/>
          <w:marTop w:val="0"/>
          <w:marBottom w:val="0"/>
          <w:divBdr>
            <w:top w:val="none" w:sz="0" w:space="0" w:color="auto"/>
            <w:left w:val="none" w:sz="0" w:space="0" w:color="auto"/>
            <w:bottom w:val="none" w:sz="0" w:space="0" w:color="auto"/>
            <w:right w:val="none" w:sz="0" w:space="0" w:color="auto"/>
          </w:divBdr>
        </w:div>
        <w:div w:id="1330522803">
          <w:marLeft w:val="0"/>
          <w:marRight w:val="0"/>
          <w:marTop w:val="0"/>
          <w:marBottom w:val="0"/>
          <w:divBdr>
            <w:top w:val="none" w:sz="0" w:space="0" w:color="auto"/>
            <w:left w:val="none" w:sz="0" w:space="0" w:color="auto"/>
            <w:bottom w:val="none" w:sz="0" w:space="0" w:color="auto"/>
            <w:right w:val="none" w:sz="0" w:space="0" w:color="auto"/>
          </w:divBdr>
        </w:div>
        <w:div w:id="1004436093">
          <w:marLeft w:val="0"/>
          <w:marRight w:val="0"/>
          <w:marTop w:val="0"/>
          <w:marBottom w:val="0"/>
          <w:divBdr>
            <w:top w:val="none" w:sz="0" w:space="0" w:color="auto"/>
            <w:left w:val="none" w:sz="0" w:space="0" w:color="auto"/>
            <w:bottom w:val="none" w:sz="0" w:space="0" w:color="auto"/>
            <w:right w:val="none" w:sz="0" w:space="0" w:color="auto"/>
          </w:divBdr>
        </w:div>
        <w:div w:id="655572071">
          <w:marLeft w:val="0"/>
          <w:marRight w:val="0"/>
          <w:marTop w:val="0"/>
          <w:marBottom w:val="0"/>
          <w:divBdr>
            <w:top w:val="none" w:sz="0" w:space="0" w:color="auto"/>
            <w:left w:val="none" w:sz="0" w:space="0" w:color="auto"/>
            <w:bottom w:val="none" w:sz="0" w:space="0" w:color="auto"/>
            <w:right w:val="none" w:sz="0" w:space="0" w:color="auto"/>
          </w:divBdr>
        </w:div>
        <w:div w:id="1541937184">
          <w:marLeft w:val="0"/>
          <w:marRight w:val="0"/>
          <w:marTop w:val="0"/>
          <w:marBottom w:val="0"/>
          <w:divBdr>
            <w:top w:val="none" w:sz="0" w:space="0" w:color="auto"/>
            <w:left w:val="none" w:sz="0" w:space="0" w:color="auto"/>
            <w:bottom w:val="none" w:sz="0" w:space="0" w:color="auto"/>
            <w:right w:val="none" w:sz="0" w:space="0" w:color="auto"/>
          </w:divBdr>
        </w:div>
        <w:div w:id="367991199">
          <w:marLeft w:val="0"/>
          <w:marRight w:val="0"/>
          <w:marTop w:val="0"/>
          <w:marBottom w:val="0"/>
          <w:divBdr>
            <w:top w:val="none" w:sz="0" w:space="0" w:color="auto"/>
            <w:left w:val="none" w:sz="0" w:space="0" w:color="auto"/>
            <w:bottom w:val="none" w:sz="0" w:space="0" w:color="auto"/>
            <w:right w:val="none" w:sz="0" w:space="0" w:color="auto"/>
          </w:divBdr>
        </w:div>
        <w:div w:id="187454204">
          <w:marLeft w:val="0"/>
          <w:marRight w:val="0"/>
          <w:marTop w:val="0"/>
          <w:marBottom w:val="0"/>
          <w:divBdr>
            <w:top w:val="none" w:sz="0" w:space="0" w:color="auto"/>
            <w:left w:val="none" w:sz="0" w:space="0" w:color="auto"/>
            <w:bottom w:val="none" w:sz="0" w:space="0" w:color="auto"/>
            <w:right w:val="none" w:sz="0" w:space="0" w:color="auto"/>
          </w:divBdr>
        </w:div>
        <w:div w:id="990139386">
          <w:marLeft w:val="0"/>
          <w:marRight w:val="0"/>
          <w:marTop w:val="0"/>
          <w:marBottom w:val="0"/>
          <w:divBdr>
            <w:top w:val="none" w:sz="0" w:space="0" w:color="auto"/>
            <w:left w:val="none" w:sz="0" w:space="0" w:color="auto"/>
            <w:bottom w:val="none" w:sz="0" w:space="0" w:color="auto"/>
            <w:right w:val="none" w:sz="0" w:space="0" w:color="auto"/>
          </w:divBdr>
        </w:div>
        <w:div w:id="1107969917">
          <w:marLeft w:val="0"/>
          <w:marRight w:val="0"/>
          <w:marTop w:val="0"/>
          <w:marBottom w:val="0"/>
          <w:divBdr>
            <w:top w:val="none" w:sz="0" w:space="0" w:color="auto"/>
            <w:left w:val="none" w:sz="0" w:space="0" w:color="auto"/>
            <w:bottom w:val="none" w:sz="0" w:space="0" w:color="auto"/>
            <w:right w:val="none" w:sz="0" w:space="0" w:color="auto"/>
          </w:divBdr>
        </w:div>
        <w:div w:id="587813264">
          <w:marLeft w:val="0"/>
          <w:marRight w:val="0"/>
          <w:marTop w:val="0"/>
          <w:marBottom w:val="0"/>
          <w:divBdr>
            <w:top w:val="none" w:sz="0" w:space="0" w:color="auto"/>
            <w:left w:val="none" w:sz="0" w:space="0" w:color="auto"/>
            <w:bottom w:val="none" w:sz="0" w:space="0" w:color="auto"/>
            <w:right w:val="none" w:sz="0" w:space="0" w:color="auto"/>
          </w:divBdr>
        </w:div>
        <w:div w:id="277176110">
          <w:marLeft w:val="0"/>
          <w:marRight w:val="0"/>
          <w:marTop w:val="0"/>
          <w:marBottom w:val="0"/>
          <w:divBdr>
            <w:top w:val="none" w:sz="0" w:space="0" w:color="auto"/>
            <w:left w:val="none" w:sz="0" w:space="0" w:color="auto"/>
            <w:bottom w:val="none" w:sz="0" w:space="0" w:color="auto"/>
            <w:right w:val="none" w:sz="0" w:space="0" w:color="auto"/>
          </w:divBdr>
        </w:div>
        <w:div w:id="493029567">
          <w:marLeft w:val="0"/>
          <w:marRight w:val="0"/>
          <w:marTop w:val="0"/>
          <w:marBottom w:val="0"/>
          <w:divBdr>
            <w:top w:val="none" w:sz="0" w:space="0" w:color="auto"/>
            <w:left w:val="none" w:sz="0" w:space="0" w:color="auto"/>
            <w:bottom w:val="none" w:sz="0" w:space="0" w:color="auto"/>
            <w:right w:val="none" w:sz="0" w:space="0" w:color="auto"/>
          </w:divBdr>
        </w:div>
        <w:div w:id="218058307">
          <w:marLeft w:val="0"/>
          <w:marRight w:val="0"/>
          <w:marTop w:val="0"/>
          <w:marBottom w:val="0"/>
          <w:divBdr>
            <w:top w:val="none" w:sz="0" w:space="0" w:color="auto"/>
            <w:left w:val="none" w:sz="0" w:space="0" w:color="auto"/>
            <w:bottom w:val="none" w:sz="0" w:space="0" w:color="auto"/>
            <w:right w:val="none" w:sz="0" w:space="0" w:color="auto"/>
          </w:divBdr>
        </w:div>
        <w:div w:id="1916014899">
          <w:marLeft w:val="0"/>
          <w:marRight w:val="0"/>
          <w:marTop w:val="0"/>
          <w:marBottom w:val="0"/>
          <w:divBdr>
            <w:top w:val="none" w:sz="0" w:space="0" w:color="auto"/>
            <w:left w:val="none" w:sz="0" w:space="0" w:color="auto"/>
            <w:bottom w:val="none" w:sz="0" w:space="0" w:color="auto"/>
            <w:right w:val="none" w:sz="0" w:space="0" w:color="auto"/>
          </w:divBdr>
        </w:div>
        <w:div w:id="1559589218">
          <w:marLeft w:val="0"/>
          <w:marRight w:val="0"/>
          <w:marTop w:val="0"/>
          <w:marBottom w:val="0"/>
          <w:divBdr>
            <w:top w:val="none" w:sz="0" w:space="0" w:color="auto"/>
            <w:left w:val="none" w:sz="0" w:space="0" w:color="auto"/>
            <w:bottom w:val="none" w:sz="0" w:space="0" w:color="auto"/>
            <w:right w:val="none" w:sz="0" w:space="0" w:color="auto"/>
          </w:divBdr>
        </w:div>
        <w:div w:id="1830099637">
          <w:marLeft w:val="0"/>
          <w:marRight w:val="0"/>
          <w:marTop w:val="0"/>
          <w:marBottom w:val="0"/>
          <w:divBdr>
            <w:top w:val="none" w:sz="0" w:space="0" w:color="auto"/>
            <w:left w:val="none" w:sz="0" w:space="0" w:color="auto"/>
            <w:bottom w:val="none" w:sz="0" w:space="0" w:color="auto"/>
            <w:right w:val="none" w:sz="0" w:space="0" w:color="auto"/>
          </w:divBdr>
        </w:div>
        <w:div w:id="511801087">
          <w:marLeft w:val="0"/>
          <w:marRight w:val="0"/>
          <w:marTop w:val="0"/>
          <w:marBottom w:val="0"/>
          <w:divBdr>
            <w:top w:val="none" w:sz="0" w:space="0" w:color="auto"/>
            <w:left w:val="none" w:sz="0" w:space="0" w:color="auto"/>
            <w:bottom w:val="none" w:sz="0" w:space="0" w:color="auto"/>
            <w:right w:val="none" w:sz="0" w:space="0" w:color="auto"/>
          </w:divBdr>
        </w:div>
        <w:div w:id="1278371122">
          <w:marLeft w:val="0"/>
          <w:marRight w:val="0"/>
          <w:marTop w:val="0"/>
          <w:marBottom w:val="0"/>
          <w:divBdr>
            <w:top w:val="none" w:sz="0" w:space="0" w:color="auto"/>
            <w:left w:val="none" w:sz="0" w:space="0" w:color="auto"/>
            <w:bottom w:val="none" w:sz="0" w:space="0" w:color="auto"/>
            <w:right w:val="none" w:sz="0" w:space="0" w:color="auto"/>
          </w:divBdr>
        </w:div>
        <w:div w:id="1657372295">
          <w:marLeft w:val="0"/>
          <w:marRight w:val="0"/>
          <w:marTop w:val="0"/>
          <w:marBottom w:val="0"/>
          <w:divBdr>
            <w:top w:val="none" w:sz="0" w:space="0" w:color="auto"/>
            <w:left w:val="none" w:sz="0" w:space="0" w:color="auto"/>
            <w:bottom w:val="none" w:sz="0" w:space="0" w:color="auto"/>
            <w:right w:val="none" w:sz="0" w:space="0" w:color="auto"/>
          </w:divBdr>
        </w:div>
        <w:div w:id="997152497">
          <w:marLeft w:val="0"/>
          <w:marRight w:val="0"/>
          <w:marTop w:val="0"/>
          <w:marBottom w:val="0"/>
          <w:divBdr>
            <w:top w:val="none" w:sz="0" w:space="0" w:color="auto"/>
            <w:left w:val="none" w:sz="0" w:space="0" w:color="auto"/>
            <w:bottom w:val="none" w:sz="0" w:space="0" w:color="auto"/>
            <w:right w:val="none" w:sz="0" w:space="0" w:color="auto"/>
          </w:divBdr>
        </w:div>
        <w:div w:id="107698882">
          <w:marLeft w:val="0"/>
          <w:marRight w:val="0"/>
          <w:marTop w:val="0"/>
          <w:marBottom w:val="0"/>
          <w:divBdr>
            <w:top w:val="none" w:sz="0" w:space="0" w:color="auto"/>
            <w:left w:val="none" w:sz="0" w:space="0" w:color="auto"/>
            <w:bottom w:val="none" w:sz="0" w:space="0" w:color="auto"/>
            <w:right w:val="none" w:sz="0" w:space="0" w:color="auto"/>
          </w:divBdr>
        </w:div>
        <w:div w:id="1464497285">
          <w:marLeft w:val="0"/>
          <w:marRight w:val="0"/>
          <w:marTop w:val="0"/>
          <w:marBottom w:val="0"/>
          <w:divBdr>
            <w:top w:val="none" w:sz="0" w:space="0" w:color="auto"/>
            <w:left w:val="none" w:sz="0" w:space="0" w:color="auto"/>
            <w:bottom w:val="none" w:sz="0" w:space="0" w:color="auto"/>
            <w:right w:val="none" w:sz="0" w:space="0" w:color="auto"/>
          </w:divBdr>
        </w:div>
        <w:div w:id="1295866972">
          <w:marLeft w:val="0"/>
          <w:marRight w:val="0"/>
          <w:marTop w:val="0"/>
          <w:marBottom w:val="0"/>
          <w:divBdr>
            <w:top w:val="none" w:sz="0" w:space="0" w:color="auto"/>
            <w:left w:val="none" w:sz="0" w:space="0" w:color="auto"/>
            <w:bottom w:val="none" w:sz="0" w:space="0" w:color="auto"/>
            <w:right w:val="none" w:sz="0" w:space="0" w:color="auto"/>
          </w:divBdr>
        </w:div>
        <w:div w:id="1489250087">
          <w:marLeft w:val="0"/>
          <w:marRight w:val="0"/>
          <w:marTop w:val="0"/>
          <w:marBottom w:val="0"/>
          <w:divBdr>
            <w:top w:val="none" w:sz="0" w:space="0" w:color="auto"/>
            <w:left w:val="none" w:sz="0" w:space="0" w:color="auto"/>
            <w:bottom w:val="none" w:sz="0" w:space="0" w:color="auto"/>
            <w:right w:val="none" w:sz="0" w:space="0" w:color="auto"/>
          </w:divBdr>
        </w:div>
        <w:div w:id="551960228">
          <w:marLeft w:val="0"/>
          <w:marRight w:val="0"/>
          <w:marTop w:val="0"/>
          <w:marBottom w:val="0"/>
          <w:divBdr>
            <w:top w:val="none" w:sz="0" w:space="0" w:color="auto"/>
            <w:left w:val="none" w:sz="0" w:space="0" w:color="auto"/>
            <w:bottom w:val="none" w:sz="0" w:space="0" w:color="auto"/>
            <w:right w:val="none" w:sz="0" w:space="0" w:color="auto"/>
          </w:divBdr>
        </w:div>
        <w:div w:id="827329111">
          <w:marLeft w:val="0"/>
          <w:marRight w:val="0"/>
          <w:marTop w:val="0"/>
          <w:marBottom w:val="0"/>
          <w:divBdr>
            <w:top w:val="none" w:sz="0" w:space="0" w:color="auto"/>
            <w:left w:val="none" w:sz="0" w:space="0" w:color="auto"/>
            <w:bottom w:val="none" w:sz="0" w:space="0" w:color="auto"/>
            <w:right w:val="none" w:sz="0" w:space="0" w:color="auto"/>
          </w:divBdr>
        </w:div>
        <w:div w:id="1142306700">
          <w:marLeft w:val="0"/>
          <w:marRight w:val="0"/>
          <w:marTop w:val="0"/>
          <w:marBottom w:val="0"/>
          <w:divBdr>
            <w:top w:val="none" w:sz="0" w:space="0" w:color="auto"/>
            <w:left w:val="none" w:sz="0" w:space="0" w:color="auto"/>
            <w:bottom w:val="none" w:sz="0" w:space="0" w:color="auto"/>
            <w:right w:val="none" w:sz="0" w:space="0" w:color="auto"/>
          </w:divBdr>
        </w:div>
        <w:div w:id="547764913">
          <w:marLeft w:val="0"/>
          <w:marRight w:val="0"/>
          <w:marTop w:val="0"/>
          <w:marBottom w:val="0"/>
          <w:divBdr>
            <w:top w:val="none" w:sz="0" w:space="0" w:color="auto"/>
            <w:left w:val="none" w:sz="0" w:space="0" w:color="auto"/>
            <w:bottom w:val="none" w:sz="0" w:space="0" w:color="auto"/>
            <w:right w:val="none" w:sz="0" w:space="0" w:color="auto"/>
          </w:divBdr>
        </w:div>
        <w:div w:id="1049963461">
          <w:marLeft w:val="0"/>
          <w:marRight w:val="0"/>
          <w:marTop w:val="0"/>
          <w:marBottom w:val="0"/>
          <w:divBdr>
            <w:top w:val="none" w:sz="0" w:space="0" w:color="auto"/>
            <w:left w:val="none" w:sz="0" w:space="0" w:color="auto"/>
            <w:bottom w:val="none" w:sz="0" w:space="0" w:color="auto"/>
            <w:right w:val="none" w:sz="0" w:space="0" w:color="auto"/>
          </w:divBdr>
        </w:div>
        <w:div w:id="935558200">
          <w:marLeft w:val="0"/>
          <w:marRight w:val="0"/>
          <w:marTop w:val="0"/>
          <w:marBottom w:val="0"/>
          <w:divBdr>
            <w:top w:val="none" w:sz="0" w:space="0" w:color="auto"/>
            <w:left w:val="none" w:sz="0" w:space="0" w:color="auto"/>
            <w:bottom w:val="none" w:sz="0" w:space="0" w:color="auto"/>
            <w:right w:val="none" w:sz="0" w:space="0" w:color="auto"/>
          </w:divBdr>
        </w:div>
        <w:div w:id="303853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npfc.int/cmm-2025-06-bottom-fisheries-and-protection-vmes-ne-pacific-ocean-effective-date-10-july-2025-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pfc.in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pfc.int/system/files/2023-11/NPFC-2023-SSC%20BFME04-WP13%20Identifying%20VMEs%20on%20Cobb%20Seamount%20using%20visual%20data.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pfc.int" TargetMode="External"/><Relationship Id="rId5" Type="http://schemas.openxmlformats.org/officeDocument/2006/relationships/webSettings" Target="webSettings.xml"/><Relationship Id="rId15" Type="http://schemas.openxmlformats.org/officeDocument/2006/relationships/hyperlink" Target="https://www.npfc.int/vulnerable-marine-ecosystems-vmes-northeast-part-north-pacific-fisheries-commission-convention-area" TargetMode="Externa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npfc.int"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2439</Words>
  <Characters>13905</Characters>
  <Application>Microsoft Office Word</Application>
  <DocSecurity>0</DocSecurity>
  <Lines>115</Lines>
  <Paragraphs>32</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14</cp:revision>
  <cp:lastPrinted>2017-09-04T06:52:00Z</cp:lastPrinted>
  <dcterms:created xsi:type="dcterms:W3CDTF">2025-11-06T15:33:00Z</dcterms:created>
  <dcterms:modified xsi:type="dcterms:W3CDTF">2025-11-08T02:20:00Z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2e732c27,2217f7cf,558880c9</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2025-10-18T12:20:42Z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4ea92a67-bd29-47dc-8625-0b604c70c70a</vt:lpwstr>
  </property>
  <property fmtid="{D5CDD505-2E9C-101B-9397-08002B2CF9AE}" pid="11" name="MSIP_Label_4e6cdb53-fd15-486d-84de-c510e3a62203_ContentBits">
    <vt:lpwstr>1</vt:lpwstr>
  </property>
</Properties>
</file>