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0A0FA710" w:rsidR="00E8004D" w:rsidRPr="00467004" w:rsidRDefault="00E91E89" w:rsidP="00F32B7D">
      <w:pPr>
        <w:spacing w:before="240"/>
        <w:jc w:val="right"/>
        <w:rPr>
          <w:rFonts w:asciiTheme="majorHAnsi" w:hAnsiTheme="majorHAnsi" w:cstheme="majorHAnsi"/>
          <w:sz w:val="22"/>
        </w:rPr>
      </w:pPr>
      <w:r w:rsidRPr="00467004">
        <w:rPr>
          <w:rFonts w:asciiTheme="majorHAnsi" w:hAnsiTheme="majorHAnsi" w:cstheme="majorHAnsi"/>
          <w:sz w:val="22"/>
        </w:rPr>
        <w:t>NPFC-20</w:t>
      </w:r>
      <w:r w:rsidR="00F626AE" w:rsidRPr="00467004">
        <w:rPr>
          <w:rFonts w:asciiTheme="majorHAnsi" w:hAnsiTheme="majorHAnsi" w:cstheme="majorHAnsi"/>
          <w:sz w:val="22"/>
        </w:rPr>
        <w:t>25</w:t>
      </w:r>
      <w:r w:rsidRPr="00467004">
        <w:rPr>
          <w:rFonts w:asciiTheme="majorHAnsi" w:hAnsiTheme="majorHAnsi" w:cstheme="majorHAnsi"/>
          <w:sz w:val="22"/>
        </w:rPr>
        <w:t>-</w:t>
      </w:r>
      <w:r w:rsidR="00591EC0" w:rsidRPr="00467004">
        <w:rPr>
          <w:rFonts w:asciiTheme="majorHAnsi" w:hAnsiTheme="majorHAnsi" w:cstheme="majorHAnsi"/>
          <w:sz w:val="22"/>
        </w:rPr>
        <w:t>S</w:t>
      </w:r>
      <w:r w:rsidR="00F626AE" w:rsidRPr="00467004">
        <w:rPr>
          <w:rFonts w:asciiTheme="majorHAnsi" w:hAnsiTheme="majorHAnsi" w:cstheme="majorHAnsi"/>
          <w:sz w:val="22"/>
        </w:rPr>
        <w:t>S</w:t>
      </w:r>
      <w:r w:rsidR="00591EC0" w:rsidRPr="00467004">
        <w:rPr>
          <w:rFonts w:asciiTheme="majorHAnsi" w:hAnsiTheme="majorHAnsi" w:cstheme="majorHAnsi"/>
          <w:sz w:val="22"/>
        </w:rPr>
        <w:t>C</w:t>
      </w:r>
      <w:r w:rsidR="00F626AE" w:rsidRPr="00467004">
        <w:rPr>
          <w:rFonts w:asciiTheme="majorHAnsi" w:hAnsiTheme="majorHAnsi" w:cstheme="majorHAnsi"/>
          <w:sz w:val="22"/>
        </w:rPr>
        <w:t xml:space="preserve"> BFME</w:t>
      </w:r>
      <w:r w:rsidR="00591EC0" w:rsidRPr="00467004">
        <w:rPr>
          <w:rFonts w:asciiTheme="majorHAnsi" w:hAnsiTheme="majorHAnsi" w:cstheme="majorHAnsi"/>
          <w:sz w:val="22"/>
        </w:rPr>
        <w:t>0</w:t>
      </w:r>
      <w:r w:rsidR="00F626AE" w:rsidRPr="00467004">
        <w:rPr>
          <w:rFonts w:asciiTheme="majorHAnsi" w:hAnsiTheme="majorHAnsi" w:cstheme="majorHAnsi"/>
          <w:sz w:val="22"/>
        </w:rPr>
        <w:t>6</w:t>
      </w:r>
      <w:r w:rsidRPr="00467004">
        <w:rPr>
          <w:rFonts w:asciiTheme="majorHAnsi" w:hAnsiTheme="majorHAnsi" w:cstheme="majorHAnsi"/>
          <w:sz w:val="22"/>
        </w:rPr>
        <w:t>-W</w:t>
      </w:r>
      <w:r w:rsidR="00D748F7">
        <w:rPr>
          <w:rFonts w:asciiTheme="majorHAnsi" w:hAnsiTheme="majorHAnsi" w:cstheme="majorHAnsi"/>
          <w:sz w:val="22"/>
        </w:rPr>
        <w:t>P09</w:t>
      </w:r>
    </w:p>
    <w:p w14:paraId="6DABEBC2" w14:textId="77777777" w:rsidR="00FD2C0B" w:rsidRDefault="00FD2C0B" w:rsidP="00B14F50">
      <w:pPr>
        <w:rPr>
          <w:rFonts w:asciiTheme="majorHAnsi" w:hAnsiTheme="majorHAnsi" w:cstheme="majorHAnsi"/>
          <w:sz w:val="22"/>
        </w:rPr>
      </w:pPr>
    </w:p>
    <w:p w14:paraId="1BA8B36F" w14:textId="148E7A69" w:rsidR="00467004" w:rsidRPr="0010024F" w:rsidRDefault="00467004" w:rsidP="000513D6">
      <w:pPr>
        <w:rPr>
          <w:rFonts w:asciiTheme="majorHAnsi" w:hAnsiTheme="majorHAnsi" w:cstheme="majorHAnsi"/>
          <w:b/>
          <w:bCs/>
          <w:sz w:val="28"/>
          <w:szCs w:val="28"/>
        </w:rPr>
      </w:pPr>
      <w:r w:rsidRPr="0010024F">
        <w:rPr>
          <w:rFonts w:asciiTheme="majorHAnsi" w:hAnsiTheme="majorHAnsi" w:cstheme="majorHAnsi"/>
          <w:b/>
          <w:bCs/>
          <w:sz w:val="28"/>
          <w:szCs w:val="28"/>
        </w:rPr>
        <w:t xml:space="preserve">Updated identification of </w:t>
      </w:r>
      <w:r w:rsidR="000513D6" w:rsidRPr="000513D6">
        <w:rPr>
          <w:rFonts w:asciiTheme="majorHAnsi" w:hAnsiTheme="majorHAnsi" w:cstheme="majorHAnsi"/>
          <w:b/>
          <w:bCs/>
          <w:sz w:val="28"/>
          <w:szCs w:val="28"/>
        </w:rPr>
        <w:t xml:space="preserve">potential VMEs on the Cobb-Eickelberg seamount chain based on predictive modelling </w:t>
      </w:r>
      <w:r w:rsidR="000513D6">
        <w:rPr>
          <w:rFonts w:asciiTheme="majorHAnsi" w:hAnsiTheme="majorHAnsi" w:cstheme="majorHAnsi"/>
          <w:b/>
          <w:bCs/>
          <w:sz w:val="28"/>
          <w:szCs w:val="28"/>
        </w:rPr>
        <w:t>that</w:t>
      </w:r>
      <w:r w:rsidR="0010024F" w:rsidRPr="0010024F">
        <w:rPr>
          <w:rFonts w:asciiTheme="majorHAnsi" w:hAnsiTheme="majorHAnsi" w:cstheme="majorHAnsi"/>
          <w:b/>
          <w:bCs/>
          <w:sz w:val="28"/>
          <w:szCs w:val="28"/>
        </w:rPr>
        <w:t xml:space="preserve"> includ</w:t>
      </w:r>
      <w:r w:rsidR="000513D6">
        <w:rPr>
          <w:rFonts w:asciiTheme="majorHAnsi" w:hAnsiTheme="majorHAnsi" w:cstheme="majorHAnsi"/>
          <w:b/>
          <w:bCs/>
          <w:sz w:val="28"/>
          <w:szCs w:val="28"/>
        </w:rPr>
        <w:t>es</w:t>
      </w:r>
      <w:r w:rsidR="0010024F" w:rsidRPr="0010024F">
        <w:rPr>
          <w:rFonts w:asciiTheme="majorHAnsi" w:hAnsiTheme="majorHAnsi" w:cstheme="majorHAnsi"/>
          <w:b/>
          <w:bCs/>
          <w:sz w:val="28"/>
          <w:szCs w:val="28"/>
        </w:rPr>
        <w:t xml:space="preserve"> pennatulaceans as VME indicator taxa</w:t>
      </w:r>
    </w:p>
    <w:p w14:paraId="4B784BBC" w14:textId="77777777" w:rsidR="001032F5" w:rsidRPr="001032F5" w:rsidRDefault="001032F5" w:rsidP="001032F5">
      <w:pPr>
        <w:rPr>
          <w:rFonts w:asciiTheme="majorHAnsi" w:hAnsiTheme="majorHAnsi" w:cstheme="majorHAnsi"/>
          <w:sz w:val="22"/>
        </w:rPr>
      </w:pPr>
    </w:p>
    <w:p w14:paraId="7780678F" w14:textId="166A9367" w:rsidR="00473456" w:rsidRPr="00467004" w:rsidRDefault="001032F5" w:rsidP="001032F5">
      <w:pPr>
        <w:rPr>
          <w:rFonts w:asciiTheme="majorHAnsi" w:hAnsiTheme="majorHAnsi" w:cstheme="majorHAnsi"/>
          <w:sz w:val="22"/>
          <w:vertAlign w:val="superscript"/>
        </w:rPr>
      </w:pPr>
      <w:r w:rsidRPr="00467004">
        <w:rPr>
          <w:rFonts w:asciiTheme="majorHAnsi" w:hAnsiTheme="majorHAnsi" w:cstheme="majorHAnsi"/>
          <w:sz w:val="22"/>
        </w:rPr>
        <w:t xml:space="preserve">Devon R Warawa, Christopher N Rooper, </w:t>
      </w:r>
      <w:r w:rsidR="00DD287E">
        <w:rPr>
          <w:rFonts w:asciiTheme="majorHAnsi" w:hAnsiTheme="majorHAnsi" w:cstheme="majorHAnsi"/>
          <w:sz w:val="22"/>
        </w:rPr>
        <w:t xml:space="preserve">Ellen Kenchington, </w:t>
      </w:r>
      <w:r w:rsidRPr="00467004">
        <w:rPr>
          <w:rFonts w:asciiTheme="majorHAnsi" w:hAnsiTheme="majorHAnsi" w:cstheme="majorHAnsi"/>
          <w:sz w:val="22"/>
        </w:rPr>
        <w:t>and Janelle MR Curtis</w:t>
      </w:r>
    </w:p>
    <w:p w14:paraId="255C14A6" w14:textId="0C303E3F" w:rsidR="001032F5" w:rsidRPr="00467004" w:rsidRDefault="001032F5" w:rsidP="001032F5">
      <w:pPr>
        <w:rPr>
          <w:rFonts w:asciiTheme="majorHAnsi" w:hAnsiTheme="majorHAnsi" w:cstheme="majorHAnsi"/>
          <w:sz w:val="22"/>
        </w:rPr>
      </w:pPr>
      <w:r w:rsidRPr="00467004">
        <w:rPr>
          <w:rFonts w:asciiTheme="majorHAnsi" w:hAnsiTheme="majorHAnsi" w:cstheme="majorHAnsi"/>
          <w:sz w:val="22"/>
        </w:rPr>
        <w:t>Fisheries and Oceans Canada</w:t>
      </w:r>
    </w:p>
    <w:p w14:paraId="00747312" w14:textId="77777777" w:rsidR="00473FAA" w:rsidRPr="00467004" w:rsidRDefault="00473FAA" w:rsidP="001032F5">
      <w:pPr>
        <w:rPr>
          <w:rFonts w:asciiTheme="majorHAnsi" w:hAnsiTheme="majorHAnsi" w:cstheme="majorHAnsi"/>
          <w:sz w:val="22"/>
        </w:rPr>
      </w:pPr>
    </w:p>
    <w:p w14:paraId="077FBCEC" w14:textId="4A6E345D" w:rsidR="00473FAA" w:rsidRPr="00816E32" w:rsidRDefault="00473FAA" w:rsidP="001032F5">
      <w:pPr>
        <w:rPr>
          <w:rFonts w:asciiTheme="majorHAnsi" w:hAnsiTheme="majorHAnsi" w:cstheme="majorHAnsi"/>
          <w:b/>
          <w:bCs/>
          <w:sz w:val="22"/>
        </w:rPr>
      </w:pPr>
      <w:r w:rsidRPr="00816E32">
        <w:rPr>
          <w:rFonts w:asciiTheme="majorHAnsi" w:hAnsiTheme="majorHAnsi" w:cstheme="majorHAnsi"/>
          <w:b/>
          <w:bCs/>
          <w:sz w:val="22"/>
        </w:rPr>
        <w:t>ABSTRACT</w:t>
      </w:r>
    </w:p>
    <w:p w14:paraId="1F41A383" w14:textId="7680275D" w:rsidR="00A14207" w:rsidRPr="00816E32" w:rsidRDefault="00A14207" w:rsidP="00A14207">
      <w:pPr>
        <w:rPr>
          <w:rFonts w:asciiTheme="majorHAnsi" w:hAnsiTheme="majorHAnsi" w:cstheme="majorHAnsi"/>
          <w:sz w:val="22"/>
        </w:rPr>
      </w:pPr>
      <w:r w:rsidRPr="00816E32">
        <w:rPr>
          <w:rFonts w:asciiTheme="majorHAnsi" w:hAnsiTheme="majorHAnsi" w:cstheme="majorHAnsi"/>
          <w:sz w:val="22"/>
        </w:rPr>
        <w:t xml:space="preserve">Areas likely to be vulnerable marine ecosystems (VMEs) (i.e. potential VMEs) can be identified using model predictions when no data from visual surveys exist, as outlined in the North Pacific Fisheries Commission’s (NPFC’s) framework for identifying data to identify VMEs (See Annex 2.3 </w:t>
      </w:r>
      <w:r w:rsidRPr="009F190E">
        <w:rPr>
          <w:rFonts w:asciiTheme="majorHAnsi" w:hAnsiTheme="majorHAnsi" w:cstheme="majorHAnsi"/>
          <w:sz w:val="22"/>
        </w:rPr>
        <w:t>in NPFC 2025a and NPFC 2025b</w:t>
      </w:r>
      <w:r w:rsidRPr="00A14207">
        <w:rPr>
          <w:rFonts w:asciiTheme="majorHAnsi" w:hAnsiTheme="majorHAnsi" w:cstheme="majorHAnsi"/>
          <w:sz w:val="22"/>
        </w:rPr>
        <w:t xml:space="preserve">). </w:t>
      </w:r>
      <w:r w:rsidR="00BA5DE2" w:rsidRPr="00816E32">
        <w:rPr>
          <w:rFonts w:asciiTheme="majorHAnsi" w:hAnsiTheme="majorHAnsi" w:cstheme="majorHAnsi"/>
          <w:sz w:val="22"/>
        </w:rPr>
        <w:t>In this paper, w</w:t>
      </w:r>
      <w:r w:rsidRPr="00816E32">
        <w:rPr>
          <w:rFonts w:asciiTheme="majorHAnsi" w:hAnsiTheme="majorHAnsi" w:cstheme="majorHAnsi"/>
          <w:sz w:val="22"/>
        </w:rPr>
        <w:t>e identify potential VMEs in the Cobb-Eickelberg seamount chain using predictive models of VME indic</w:t>
      </w:r>
      <w:r w:rsidR="008F6968" w:rsidRPr="00816E32">
        <w:rPr>
          <w:rFonts w:asciiTheme="majorHAnsi" w:hAnsiTheme="majorHAnsi" w:cstheme="majorHAnsi"/>
          <w:sz w:val="22"/>
        </w:rPr>
        <w:t>a</w:t>
      </w:r>
      <w:r w:rsidRPr="00816E32">
        <w:rPr>
          <w:rFonts w:asciiTheme="majorHAnsi" w:hAnsiTheme="majorHAnsi" w:cstheme="majorHAnsi"/>
          <w:sz w:val="22"/>
        </w:rPr>
        <w:t xml:space="preserve">tor taxa density, </w:t>
      </w:r>
      <w:r w:rsidRPr="00573D62">
        <w:rPr>
          <w:rFonts w:asciiTheme="majorHAnsi" w:hAnsiTheme="majorHAnsi" w:cstheme="majorHAnsi"/>
          <w:sz w:val="22"/>
        </w:rPr>
        <w:t>as in Warawa et al. (2023).</w:t>
      </w:r>
      <w:r w:rsidRPr="00816E32">
        <w:rPr>
          <w:rFonts w:asciiTheme="majorHAnsi" w:hAnsiTheme="majorHAnsi" w:cstheme="majorHAnsi"/>
          <w:sz w:val="22"/>
        </w:rPr>
        <w:t xml:space="preserve"> To achieve this, we recalculated the regional VME indicator taxa density threshold in the Northeast Pacific Ocean to include pennatulaceans, which were recently added to the list of NPFC</w:t>
      </w:r>
      <w:r w:rsidR="007B2D54">
        <w:rPr>
          <w:rFonts w:asciiTheme="majorHAnsi" w:hAnsiTheme="majorHAnsi" w:cstheme="majorHAnsi"/>
          <w:sz w:val="22"/>
        </w:rPr>
        <w:t>’s</w:t>
      </w:r>
      <w:r w:rsidRPr="00816E32">
        <w:rPr>
          <w:rFonts w:asciiTheme="majorHAnsi" w:hAnsiTheme="majorHAnsi" w:cstheme="majorHAnsi"/>
          <w:sz w:val="22"/>
        </w:rPr>
        <w:t xml:space="preserve"> VME indicator </w:t>
      </w:r>
      <w:r w:rsidRPr="00AD76E7">
        <w:rPr>
          <w:rFonts w:asciiTheme="majorHAnsi" w:hAnsiTheme="majorHAnsi" w:cstheme="majorHAnsi"/>
          <w:sz w:val="22"/>
        </w:rPr>
        <w:t>taxa (NPFC 2024).</w:t>
      </w:r>
      <w:r w:rsidRPr="00816E32">
        <w:rPr>
          <w:rFonts w:asciiTheme="majorHAnsi" w:hAnsiTheme="majorHAnsi" w:cstheme="majorHAnsi"/>
          <w:sz w:val="22"/>
        </w:rPr>
        <w:t xml:space="preserve"> The updated</w:t>
      </w:r>
      <w:r w:rsidR="00BA5DE2" w:rsidRPr="00816E32">
        <w:rPr>
          <w:rFonts w:asciiTheme="majorHAnsi" w:hAnsiTheme="majorHAnsi" w:cstheme="majorHAnsi"/>
          <w:sz w:val="22"/>
        </w:rPr>
        <w:t xml:space="preserve"> VME indicator taxa density threshold was 0.58 VME indicators per m</w:t>
      </w:r>
      <w:r w:rsidR="00BA5DE2" w:rsidRPr="00816E32">
        <w:rPr>
          <w:rFonts w:asciiTheme="majorHAnsi" w:hAnsiTheme="majorHAnsi" w:cstheme="majorHAnsi"/>
          <w:sz w:val="22"/>
          <w:vertAlign w:val="superscript"/>
        </w:rPr>
        <w:t>2</w:t>
      </w:r>
      <w:r w:rsidR="003A2936" w:rsidRPr="00816E32">
        <w:rPr>
          <w:rFonts w:asciiTheme="majorHAnsi" w:hAnsiTheme="majorHAnsi" w:cstheme="majorHAnsi"/>
          <w:sz w:val="22"/>
        </w:rPr>
        <w:t xml:space="preserve"> (compared to 0.6 VME indicators per m</w:t>
      </w:r>
      <w:r w:rsidR="003A2936" w:rsidRPr="00816E32">
        <w:rPr>
          <w:rFonts w:asciiTheme="majorHAnsi" w:hAnsiTheme="majorHAnsi" w:cstheme="majorHAnsi"/>
          <w:sz w:val="22"/>
          <w:vertAlign w:val="superscript"/>
        </w:rPr>
        <w:t>2</w:t>
      </w:r>
      <w:r w:rsidR="003A2936" w:rsidRPr="00816E32">
        <w:rPr>
          <w:rFonts w:asciiTheme="majorHAnsi" w:hAnsiTheme="majorHAnsi" w:cstheme="majorHAnsi"/>
          <w:sz w:val="22"/>
        </w:rPr>
        <w:t xml:space="preserve"> in th</w:t>
      </w:r>
      <w:r w:rsidR="0059117F" w:rsidRPr="00816E32">
        <w:rPr>
          <w:rFonts w:asciiTheme="majorHAnsi" w:hAnsiTheme="majorHAnsi" w:cstheme="majorHAnsi"/>
          <w:sz w:val="22"/>
        </w:rPr>
        <w:t>e original analysis)</w:t>
      </w:r>
      <w:r w:rsidR="00F43224" w:rsidRPr="00816E32">
        <w:rPr>
          <w:rFonts w:asciiTheme="majorHAnsi" w:hAnsiTheme="majorHAnsi" w:cstheme="majorHAnsi"/>
          <w:sz w:val="22"/>
        </w:rPr>
        <w:t>.</w:t>
      </w:r>
      <w:r w:rsidR="00BA5DE2" w:rsidRPr="00816E32">
        <w:rPr>
          <w:rFonts w:asciiTheme="majorHAnsi" w:hAnsiTheme="majorHAnsi" w:cstheme="majorHAnsi"/>
          <w:sz w:val="22"/>
        </w:rPr>
        <w:t xml:space="preserve"> </w:t>
      </w:r>
      <w:r w:rsidRPr="00816E32">
        <w:rPr>
          <w:rFonts w:asciiTheme="majorHAnsi" w:hAnsiTheme="majorHAnsi" w:cstheme="majorHAnsi"/>
          <w:sz w:val="22"/>
        </w:rPr>
        <w:t xml:space="preserve">Our methods predict that potential VMEs are present on all seamounts in the Cobb-Eickelberg seamount chain. We invite feedback on our </w:t>
      </w:r>
      <w:r w:rsidR="007B2D54">
        <w:rPr>
          <w:rFonts w:asciiTheme="majorHAnsi" w:hAnsiTheme="majorHAnsi" w:cstheme="majorHAnsi"/>
          <w:sz w:val="22"/>
        </w:rPr>
        <w:t xml:space="preserve">updated </w:t>
      </w:r>
      <w:r w:rsidRPr="00816E32">
        <w:rPr>
          <w:rFonts w:asciiTheme="majorHAnsi" w:hAnsiTheme="majorHAnsi" w:cstheme="majorHAnsi"/>
          <w:sz w:val="22"/>
        </w:rPr>
        <w:t>proposed method for identifying potential VMEs.</w:t>
      </w:r>
    </w:p>
    <w:p w14:paraId="61A7DEB0" w14:textId="77777777" w:rsidR="00A14207" w:rsidRPr="00816E32" w:rsidRDefault="00A14207" w:rsidP="00A14207">
      <w:pPr>
        <w:rPr>
          <w:rFonts w:asciiTheme="majorHAnsi" w:hAnsiTheme="majorHAnsi" w:cstheme="majorHAnsi"/>
          <w:sz w:val="22"/>
        </w:rPr>
      </w:pPr>
    </w:p>
    <w:p w14:paraId="0096964C" w14:textId="27235A87" w:rsidR="005C72FB" w:rsidRPr="00816E32" w:rsidRDefault="005C72FB" w:rsidP="005C72FB">
      <w:pPr>
        <w:rPr>
          <w:rFonts w:asciiTheme="majorHAnsi" w:hAnsiTheme="majorHAnsi" w:cstheme="majorHAnsi"/>
          <w:b/>
          <w:bCs/>
          <w:sz w:val="22"/>
        </w:rPr>
      </w:pPr>
      <w:r w:rsidRPr="00816E32">
        <w:rPr>
          <w:rFonts w:asciiTheme="majorHAnsi" w:hAnsiTheme="majorHAnsi" w:cstheme="majorHAnsi"/>
          <w:b/>
          <w:bCs/>
          <w:sz w:val="22"/>
        </w:rPr>
        <w:t xml:space="preserve">BACKGROUND </w:t>
      </w:r>
    </w:p>
    <w:p w14:paraId="3C521377" w14:textId="151CE5B2" w:rsidR="00BD604B" w:rsidRPr="00816E32" w:rsidRDefault="00BD604B" w:rsidP="00BD604B">
      <w:pPr>
        <w:rPr>
          <w:rFonts w:asciiTheme="majorHAnsi" w:hAnsiTheme="majorHAnsi" w:cstheme="majorHAnsi"/>
          <w:sz w:val="22"/>
        </w:rPr>
      </w:pPr>
      <w:r w:rsidRPr="00816E32">
        <w:rPr>
          <w:rFonts w:asciiTheme="majorHAnsi" w:hAnsiTheme="majorHAnsi" w:cstheme="majorHAnsi"/>
          <w:sz w:val="22"/>
        </w:rPr>
        <w:t xml:space="preserve">This working paper focuses on identifying areas where vulnerable marine ecosystems (VMEs) are likely to occur (henceforth </w:t>
      </w:r>
      <w:r w:rsidRPr="00816E32">
        <w:rPr>
          <w:rFonts w:asciiTheme="majorHAnsi" w:hAnsiTheme="majorHAnsi" w:cstheme="majorHAnsi"/>
          <w:i/>
          <w:iCs/>
          <w:sz w:val="22"/>
        </w:rPr>
        <w:t>potential VMEs</w:t>
      </w:r>
      <w:r w:rsidRPr="00816E32">
        <w:rPr>
          <w:rFonts w:asciiTheme="majorHAnsi" w:hAnsiTheme="majorHAnsi" w:cstheme="majorHAnsi"/>
          <w:sz w:val="22"/>
        </w:rPr>
        <w:t xml:space="preserve">) on seamounts along the Cobb-Eickelberg seamount chain in areas where visual data </w:t>
      </w:r>
      <w:proofErr w:type="gramStart"/>
      <w:r w:rsidR="00256592" w:rsidRPr="00816E32">
        <w:rPr>
          <w:rFonts w:asciiTheme="majorHAnsi" w:hAnsiTheme="majorHAnsi" w:cstheme="majorHAnsi"/>
          <w:sz w:val="22"/>
        </w:rPr>
        <w:t>similar to</w:t>
      </w:r>
      <w:proofErr w:type="gramEnd"/>
      <w:r w:rsidR="00256592" w:rsidRPr="00816E32">
        <w:rPr>
          <w:rFonts w:asciiTheme="majorHAnsi" w:hAnsiTheme="majorHAnsi" w:cstheme="majorHAnsi"/>
          <w:sz w:val="22"/>
        </w:rPr>
        <w:t xml:space="preserve"> that used</w:t>
      </w:r>
      <w:r w:rsidR="001E7CE9" w:rsidRPr="00816E32">
        <w:rPr>
          <w:rFonts w:asciiTheme="majorHAnsi" w:hAnsiTheme="majorHAnsi" w:cstheme="majorHAnsi"/>
          <w:sz w:val="22"/>
        </w:rPr>
        <w:t xml:space="preserve"> by</w:t>
      </w:r>
      <w:r>
        <w:rPr>
          <w:rFonts w:asciiTheme="majorHAnsi" w:hAnsiTheme="majorHAnsi" w:cstheme="majorHAnsi"/>
          <w:sz w:val="22"/>
        </w:rPr>
        <w:t xml:space="preserve"> </w:t>
      </w:r>
      <w:r w:rsidRPr="00573D62">
        <w:rPr>
          <w:rFonts w:asciiTheme="majorHAnsi" w:hAnsiTheme="majorHAnsi" w:cstheme="majorHAnsi"/>
          <w:sz w:val="22"/>
        </w:rPr>
        <w:t>Warawa et al. (2023</w:t>
      </w:r>
      <w:r w:rsidR="00573D62">
        <w:rPr>
          <w:rFonts w:asciiTheme="majorHAnsi" w:hAnsiTheme="majorHAnsi" w:cstheme="majorHAnsi"/>
          <w:sz w:val="22"/>
        </w:rPr>
        <w:t>,</w:t>
      </w:r>
      <w:r w:rsidR="001E7CE9" w:rsidRPr="00F234D6">
        <w:rPr>
          <w:rFonts w:asciiTheme="majorHAnsi" w:hAnsiTheme="majorHAnsi" w:cstheme="majorHAnsi"/>
          <w:sz w:val="22"/>
        </w:rPr>
        <w:t xml:space="preserve"> 2025</w:t>
      </w:r>
      <w:r w:rsidRPr="00F234D6">
        <w:rPr>
          <w:rFonts w:asciiTheme="majorHAnsi" w:hAnsiTheme="majorHAnsi" w:cstheme="majorHAnsi"/>
          <w:sz w:val="22"/>
        </w:rPr>
        <w:t>)</w:t>
      </w:r>
      <w:r>
        <w:rPr>
          <w:rFonts w:asciiTheme="majorHAnsi" w:hAnsiTheme="majorHAnsi" w:cstheme="majorHAnsi"/>
          <w:sz w:val="22"/>
        </w:rPr>
        <w:t xml:space="preserve"> </w:t>
      </w:r>
      <w:r w:rsidRPr="00816E32">
        <w:rPr>
          <w:rFonts w:asciiTheme="majorHAnsi" w:hAnsiTheme="majorHAnsi" w:cstheme="majorHAnsi"/>
          <w:sz w:val="22"/>
        </w:rPr>
        <w:t xml:space="preserve">are not available. </w:t>
      </w:r>
      <w:r w:rsidR="007B2D54">
        <w:rPr>
          <w:rFonts w:asciiTheme="majorHAnsi" w:hAnsiTheme="majorHAnsi" w:cstheme="majorHAnsi"/>
          <w:sz w:val="22"/>
        </w:rPr>
        <w:t xml:space="preserve">The </w:t>
      </w:r>
      <w:r w:rsidR="0059117F" w:rsidRPr="00816E32">
        <w:rPr>
          <w:rFonts w:asciiTheme="majorHAnsi" w:hAnsiTheme="majorHAnsi" w:cstheme="majorHAnsi"/>
          <w:sz w:val="22"/>
        </w:rPr>
        <w:t xml:space="preserve">Cobb-Eickelberg seamount chain is </w:t>
      </w:r>
      <w:r w:rsidR="005D65E3" w:rsidRPr="00816E32">
        <w:rPr>
          <w:rFonts w:asciiTheme="majorHAnsi" w:hAnsiTheme="majorHAnsi" w:cstheme="majorHAnsi"/>
          <w:sz w:val="22"/>
        </w:rPr>
        <w:t xml:space="preserve">important because of the Canadian sablefish fishery that occurs at these seamounts. </w:t>
      </w:r>
      <w:r w:rsidRPr="00816E32">
        <w:rPr>
          <w:rFonts w:asciiTheme="majorHAnsi" w:hAnsiTheme="majorHAnsi" w:cstheme="majorHAnsi"/>
          <w:sz w:val="22"/>
        </w:rPr>
        <w:t xml:space="preserve">The key steps in our methodology are </w:t>
      </w:r>
      <w:r w:rsidR="001E7CE9" w:rsidRPr="00816E32">
        <w:rPr>
          <w:rFonts w:asciiTheme="majorHAnsi" w:hAnsiTheme="majorHAnsi" w:cstheme="majorHAnsi"/>
          <w:sz w:val="22"/>
        </w:rPr>
        <w:t>to</w:t>
      </w:r>
      <w:r w:rsidRPr="00816E32">
        <w:rPr>
          <w:rFonts w:asciiTheme="majorHAnsi" w:hAnsiTheme="majorHAnsi" w:cstheme="majorHAnsi"/>
          <w:sz w:val="22"/>
        </w:rPr>
        <w:t xml:space="preserve"> predict </w:t>
      </w:r>
      <w:r w:rsidR="001E7CE9" w:rsidRPr="00816E32">
        <w:rPr>
          <w:rFonts w:asciiTheme="majorHAnsi" w:hAnsiTheme="majorHAnsi" w:cstheme="majorHAnsi"/>
          <w:sz w:val="22"/>
        </w:rPr>
        <w:t>the distribution</w:t>
      </w:r>
      <w:r w:rsidRPr="00816E32">
        <w:rPr>
          <w:rFonts w:asciiTheme="majorHAnsi" w:hAnsiTheme="majorHAnsi" w:cstheme="majorHAnsi"/>
          <w:sz w:val="22"/>
        </w:rPr>
        <w:t xml:space="preserve"> of VME indicator taxa density </w:t>
      </w:r>
      <w:r w:rsidR="0059117F" w:rsidRPr="00816E32">
        <w:rPr>
          <w:rFonts w:asciiTheme="majorHAnsi" w:hAnsiTheme="majorHAnsi" w:cstheme="majorHAnsi"/>
          <w:sz w:val="22"/>
        </w:rPr>
        <w:t xml:space="preserve">using species distribution models </w:t>
      </w:r>
      <w:r w:rsidRPr="00816E32">
        <w:rPr>
          <w:rFonts w:asciiTheme="majorHAnsi" w:hAnsiTheme="majorHAnsi" w:cstheme="majorHAnsi"/>
          <w:sz w:val="22"/>
        </w:rPr>
        <w:t xml:space="preserve">and apply </w:t>
      </w:r>
      <w:r w:rsidR="00256592" w:rsidRPr="00816E32">
        <w:rPr>
          <w:rFonts w:asciiTheme="majorHAnsi" w:hAnsiTheme="majorHAnsi" w:cstheme="majorHAnsi"/>
          <w:sz w:val="22"/>
        </w:rPr>
        <w:t xml:space="preserve">an </w:t>
      </w:r>
      <w:r w:rsidR="001E7CE9" w:rsidRPr="00816E32">
        <w:rPr>
          <w:rFonts w:asciiTheme="majorHAnsi" w:hAnsiTheme="majorHAnsi" w:cstheme="majorHAnsi"/>
          <w:sz w:val="22"/>
        </w:rPr>
        <w:t xml:space="preserve">updated </w:t>
      </w:r>
      <w:r w:rsidRPr="00816E32">
        <w:rPr>
          <w:rFonts w:asciiTheme="majorHAnsi" w:hAnsiTheme="majorHAnsi" w:cstheme="majorHAnsi"/>
          <w:sz w:val="22"/>
        </w:rPr>
        <w:t>VME density threshold</w:t>
      </w:r>
      <w:r w:rsidR="00256592" w:rsidRPr="00816E32">
        <w:rPr>
          <w:rFonts w:asciiTheme="majorHAnsi" w:hAnsiTheme="majorHAnsi" w:cstheme="majorHAnsi"/>
          <w:sz w:val="22"/>
        </w:rPr>
        <w:t xml:space="preserve"> that includes pennatulaceans as VME indicator taxa</w:t>
      </w:r>
      <w:r w:rsidRPr="00BD604B">
        <w:rPr>
          <w:rFonts w:asciiTheme="majorHAnsi" w:hAnsiTheme="majorHAnsi" w:cstheme="majorHAnsi"/>
          <w:sz w:val="22"/>
        </w:rPr>
        <w:t xml:space="preserve"> (</w:t>
      </w:r>
      <w:r w:rsidR="003F724E">
        <w:rPr>
          <w:rFonts w:asciiTheme="majorHAnsi" w:hAnsiTheme="majorHAnsi" w:cstheme="majorHAnsi"/>
          <w:sz w:val="22"/>
        </w:rPr>
        <w:t>NPFC 2024</w:t>
      </w:r>
      <w:r w:rsidRPr="00BD604B">
        <w:rPr>
          <w:rFonts w:asciiTheme="majorHAnsi" w:hAnsiTheme="majorHAnsi" w:cstheme="majorHAnsi"/>
          <w:sz w:val="22"/>
        </w:rPr>
        <w:t xml:space="preserve">) </w:t>
      </w:r>
      <w:r w:rsidRPr="00816E32">
        <w:rPr>
          <w:rFonts w:asciiTheme="majorHAnsi" w:hAnsiTheme="majorHAnsi" w:cstheme="majorHAnsi"/>
          <w:sz w:val="22"/>
        </w:rPr>
        <w:t xml:space="preserve">to our model predictions. </w:t>
      </w:r>
    </w:p>
    <w:p w14:paraId="3BACAD60" w14:textId="77777777" w:rsidR="00BD604B" w:rsidRPr="00256592" w:rsidRDefault="00BD604B" w:rsidP="00BD604B">
      <w:pPr>
        <w:rPr>
          <w:rFonts w:asciiTheme="majorHAnsi" w:hAnsiTheme="majorHAnsi" w:cstheme="majorHAnsi"/>
          <w:sz w:val="22"/>
          <w:highlight w:val="green"/>
        </w:rPr>
      </w:pPr>
    </w:p>
    <w:p w14:paraId="38531C76" w14:textId="77777777" w:rsidR="005C72FB" w:rsidRPr="00121F70" w:rsidRDefault="005C72FB" w:rsidP="005C72FB">
      <w:pPr>
        <w:rPr>
          <w:rFonts w:asciiTheme="majorHAnsi" w:hAnsiTheme="majorHAnsi" w:cstheme="majorHAnsi"/>
          <w:b/>
          <w:bCs/>
          <w:sz w:val="22"/>
        </w:rPr>
      </w:pPr>
      <w:r w:rsidRPr="00121F70">
        <w:rPr>
          <w:rFonts w:asciiTheme="majorHAnsi" w:hAnsiTheme="majorHAnsi" w:cstheme="majorHAnsi"/>
          <w:b/>
          <w:bCs/>
          <w:sz w:val="22"/>
        </w:rPr>
        <w:t xml:space="preserve">METHODS </w:t>
      </w:r>
    </w:p>
    <w:p w14:paraId="6777A1E6" w14:textId="77777777" w:rsidR="005C72FB" w:rsidRDefault="005C72FB" w:rsidP="005C72FB">
      <w:pPr>
        <w:rPr>
          <w:rFonts w:asciiTheme="majorHAnsi" w:hAnsiTheme="majorHAnsi" w:cstheme="majorHAnsi"/>
          <w:b/>
          <w:bCs/>
          <w:sz w:val="22"/>
        </w:rPr>
      </w:pPr>
      <w:r w:rsidRPr="00121F70">
        <w:rPr>
          <w:rFonts w:asciiTheme="majorHAnsi" w:hAnsiTheme="majorHAnsi" w:cstheme="majorHAnsi"/>
          <w:b/>
          <w:bCs/>
          <w:sz w:val="22"/>
        </w:rPr>
        <w:t xml:space="preserve">Study area </w:t>
      </w:r>
    </w:p>
    <w:p w14:paraId="1945788F" w14:textId="4752A4C8" w:rsidR="007F14D5" w:rsidRPr="007F14D5" w:rsidRDefault="007F14D5" w:rsidP="007F14D5">
      <w:pPr>
        <w:rPr>
          <w:rFonts w:asciiTheme="majorHAnsi" w:hAnsiTheme="majorHAnsi" w:cstheme="majorHAnsi"/>
          <w:sz w:val="22"/>
        </w:rPr>
      </w:pPr>
      <w:r w:rsidRPr="00816E32">
        <w:rPr>
          <w:rFonts w:asciiTheme="majorHAnsi" w:hAnsiTheme="majorHAnsi" w:cstheme="majorHAnsi"/>
          <w:sz w:val="22"/>
        </w:rPr>
        <w:t xml:space="preserve">Our study area, the Cobb-Eickelberg seamount chain, </w:t>
      </w:r>
      <w:proofErr w:type="gramStart"/>
      <w:r w:rsidRPr="00816E32">
        <w:rPr>
          <w:rFonts w:asciiTheme="majorHAnsi" w:hAnsiTheme="majorHAnsi" w:cstheme="majorHAnsi"/>
          <w:sz w:val="22"/>
        </w:rPr>
        <w:t>is located in</w:t>
      </w:r>
      <w:proofErr w:type="gramEnd"/>
      <w:r w:rsidRPr="00816E32">
        <w:rPr>
          <w:rFonts w:asciiTheme="majorHAnsi" w:hAnsiTheme="majorHAnsi" w:cstheme="majorHAnsi"/>
          <w:sz w:val="22"/>
        </w:rPr>
        <w:t xml:space="preserve"> the eastern part of the North Pacific Fisheries Commission’s (NPFC’s) Convention Area (CA), just outside of Canada’s exclusive economic zone (EEZ), approximately 450 km offshore Vancouver </w:t>
      </w:r>
      <w:r w:rsidRPr="00AD76E7">
        <w:rPr>
          <w:rFonts w:asciiTheme="majorHAnsi" w:hAnsiTheme="majorHAnsi" w:cstheme="majorHAnsi"/>
          <w:sz w:val="22"/>
        </w:rPr>
        <w:t>Island (Figure 1). This</w:t>
      </w:r>
      <w:r w:rsidRPr="00816E32">
        <w:rPr>
          <w:rFonts w:asciiTheme="majorHAnsi" w:hAnsiTheme="majorHAnsi" w:cstheme="majorHAnsi"/>
          <w:sz w:val="22"/>
        </w:rPr>
        <w:t xml:space="preserve"> </w:t>
      </w:r>
      <w:r w:rsidRPr="00816E32">
        <w:rPr>
          <w:rFonts w:asciiTheme="majorHAnsi" w:hAnsiTheme="majorHAnsi" w:cstheme="majorHAnsi"/>
          <w:sz w:val="22"/>
        </w:rPr>
        <w:lastRenderedPageBreak/>
        <w:t>seamount chain is composed of 11 named seamounts and one ridge (Eickelberg Ridge) with Cobb Seamount having the shallowest pinnacle depth of 24 m</w:t>
      </w:r>
      <w:r w:rsidRPr="007F14D5">
        <w:rPr>
          <w:rFonts w:asciiTheme="majorHAnsi" w:hAnsiTheme="majorHAnsi" w:cstheme="majorHAnsi"/>
          <w:sz w:val="22"/>
        </w:rPr>
        <w:t xml:space="preserve"> </w:t>
      </w:r>
      <w:r w:rsidRPr="009F190E">
        <w:rPr>
          <w:rFonts w:asciiTheme="majorHAnsi" w:hAnsiTheme="majorHAnsi" w:cstheme="majorHAnsi"/>
          <w:sz w:val="22"/>
        </w:rPr>
        <w:t>(Parker &amp; Tunnicliffe 1994).</w:t>
      </w:r>
      <w:r w:rsidRPr="00816E32">
        <w:rPr>
          <w:rFonts w:asciiTheme="majorHAnsi" w:hAnsiTheme="majorHAnsi" w:cstheme="majorHAnsi"/>
          <w:sz w:val="22"/>
        </w:rPr>
        <w:t xml:space="preserve"> The Canadian commercial sablefish fishery has been active in the study area since the 1980s using mainly longline trap and some longline hook and line gear. Canada’s sablefish fishery is currently the only </w:t>
      </w:r>
      <w:r w:rsidR="007B2D54">
        <w:rPr>
          <w:rFonts w:asciiTheme="majorHAnsi" w:hAnsiTheme="majorHAnsi" w:cstheme="majorHAnsi"/>
          <w:sz w:val="22"/>
        </w:rPr>
        <w:t xml:space="preserve">bottom </w:t>
      </w:r>
      <w:r w:rsidRPr="00816E32">
        <w:rPr>
          <w:rFonts w:asciiTheme="majorHAnsi" w:hAnsiTheme="majorHAnsi" w:cstheme="majorHAnsi"/>
          <w:sz w:val="22"/>
        </w:rPr>
        <w:t>fishery managed under the purview of the NPFC in the eastern part of its CA.</w:t>
      </w:r>
    </w:p>
    <w:p w14:paraId="3027C0CC" w14:textId="77777777" w:rsidR="007F14D5" w:rsidRPr="00121F70" w:rsidRDefault="007F14D5" w:rsidP="005C72FB">
      <w:pPr>
        <w:rPr>
          <w:rFonts w:asciiTheme="majorHAnsi" w:hAnsiTheme="majorHAnsi" w:cstheme="majorHAnsi"/>
          <w:b/>
          <w:bCs/>
          <w:sz w:val="22"/>
        </w:rPr>
      </w:pPr>
    </w:p>
    <w:p w14:paraId="4BC9493C" w14:textId="77777777" w:rsidR="009D0AB7" w:rsidRPr="00467004" w:rsidRDefault="009D0AB7" w:rsidP="005C72FB">
      <w:pPr>
        <w:rPr>
          <w:rFonts w:asciiTheme="majorHAnsi" w:hAnsiTheme="majorHAnsi" w:cstheme="majorHAnsi"/>
          <w:sz w:val="22"/>
        </w:rPr>
      </w:pPr>
    </w:p>
    <w:p w14:paraId="428BEF49" w14:textId="7E98E10A" w:rsidR="009D0AB7" w:rsidRPr="00467004" w:rsidRDefault="001E39AC" w:rsidP="005C72FB">
      <w:pPr>
        <w:rPr>
          <w:rFonts w:asciiTheme="majorHAnsi" w:hAnsiTheme="majorHAnsi" w:cstheme="majorHAnsi"/>
          <w:sz w:val="22"/>
        </w:rPr>
      </w:pPr>
      <w:r w:rsidRPr="001E39AC">
        <w:rPr>
          <w:rFonts w:asciiTheme="majorHAnsi" w:hAnsiTheme="majorHAnsi" w:cstheme="majorHAnsi"/>
          <w:noProof/>
          <w:sz w:val="22"/>
        </w:rPr>
        <w:drawing>
          <wp:inline distT="0" distB="0" distL="0" distR="0" wp14:anchorId="0A7AC3C4" wp14:editId="5E945FAB">
            <wp:extent cx="6004560" cy="4051300"/>
            <wp:effectExtent l="0" t="0" r="0" b="6350"/>
            <wp:docPr id="1954500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560" cy="4051300"/>
                    </a:xfrm>
                    <a:prstGeom prst="rect">
                      <a:avLst/>
                    </a:prstGeom>
                    <a:noFill/>
                    <a:ln>
                      <a:noFill/>
                    </a:ln>
                  </pic:spPr>
                </pic:pic>
              </a:graphicData>
            </a:graphic>
          </wp:inline>
        </w:drawing>
      </w:r>
    </w:p>
    <w:p w14:paraId="09D0B916" w14:textId="77777777" w:rsidR="009D0AB7" w:rsidRPr="00467004" w:rsidRDefault="009D0AB7" w:rsidP="005C72FB">
      <w:pPr>
        <w:rPr>
          <w:rFonts w:asciiTheme="majorHAnsi" w:hAnsiTheme="majorHAnsi" w:cstheme="majorHAnsi"/>
          <w:sz w:val="22"/>
        </w:rPr>
      </w:pPr>
    </w:p>
    <w:p w14:paraId="4D8F1AF7" w14:textId="786153C4" w:rsidR="00D60A7D" w:rsidRPr="00816E32" w:rsidRDefault="009D0AB7" w:rsidP="009D0AB7">
      <w:pPr>
        <w:rPr>
          <w:rFonts w:asciiTheme="majorHAnsi" w:hAnsiTheme="majorHAnsi" w:cstheme="majorHAnsi"/>
          <w:i/>
          <w:iCs/>
          <w:sz w:val="22"/>
        </w:rPr>
      </w:pPr>
      <w:r w:rsidRPr="00816E32">
        <w:rPr>
          <w:rFonts w:asciiTheme="majorHAnsi" w:hAnsiTheme="majorHAnsi" w:cstheme="majorHAnsi"/>
          <w:i/>
          <w:iCs/>
          <w:sz w:val="22"/>
        </w:rPr>
        <w:t xml:space="preserve">Figure 1. </w:t>
      </w:r>
      <w:r w:rsidR="001E39AC" w:rsidRPr="00816E32">
        <w:rPr>
          <w:rFonts w:asciiTheme="majorHAnsi" w:hAnsiTheme="majorHAnsi" w:cstheme="majorHAnsi"/>
          <w:i/>
          <w:iCs/>
          <w:sz w:val="22"/>
        </w:rPr>
        <w:t xml:space="preserve">The Cobb-Eickelberg seamount chain study area in the eastern NPFC Convention Area, next to the Canadian EEZ (light grey). Black dots represent named seamounts and black outlines represent seamounts identified from geomorphic features in </w:t>
      </w:r>
      <w:r w:rsidR="001E39AC" w:rsidRPr="005B5E99">
        <w:rPr>
          <w:rFonts w:asciiTheme="majorHAnsi" w:hAnsiTheme="majorHAnsi" w:cstheme="majorHAnsi"/>
          <w:i/>
          <w:iCs/>
          <w:sz w:val="22"/>
        </w:rPr>
        <w:t>Harris et al. (2014).</w:t>
      </w:r>
    </w:p>
    <w:p w14:paraId="78716DAA" w14:textId="77777777" w:rsidR="001E39AC" w:rsidRPr="00816E32" w:rsidRDefault="001E39AC" w:rsidP="009D0AB7">
      <w:pPr>
        <w:rPr>
          <w:rFonts w:asciiTheme="majorHAnsi" w:hAnsiTheme="majorHAnsi" w:cstheme="majorHAnsi"/>
          <w:i/>
          <w:iCs/>
          <w:sz w:val="22"/>
        </w:rPr>
      </w:pPr>
    </w:p>
    <w:p w14:paraId="279F73DA" w14:textId="77777777" w:rsidR="005C03E8" w:rsidRPr="00816E32" w:rsidRDefault="005C03E8" w:rsidP="005C03E8">
      <w:pPr>
        <w:rPr>
          <w:rFonts w:asciiTheme="majorHAnsi" w:hAnsiTheme="majorHAnsi" w:cstheme="majorHAnsi"/>
          <w:b/>
          <w:bCs/>
          <w:sz w:val="22"/>
        </w:rPr>
      </w:pPr>
      <w:r w:rsidRPr="00816E32">
        <w:rPr>
          <w:rFonts w:asciiTheme="majorHAnsi" w:hAnsiTheme="majorHAnsi" w:cstheme="majorHAnsi"/>
          <w:b/>
          <w:bCs/>
          <w:sz w:val="22"/>
        </w:rPr>
        <w:t xml:space="preserve">Predictive models of VME indictor density </w:t>
      </w:r>
    </w:p>
    <w:p w14:paraId="2B2C46A5" w14:textId="03D8C1BC" w:rsidR="005C03E8" w:rsidRPr="00816E32" w:rsidRDefault="005C03E8" w:rsidP="005C03E8">
      <w:pPr>
        <w:rPr>
          <w:rFonts w:asciiTheme="majorHAnsi" w:hAnsiTheme="majorHAnsi" w:cstheme="majorHAnsi"/>
          <w:sz w:val="22"/>
        </w:rPr>
      </w:pPr>
      <w:r w:rsidRPr="00816E32">
        <w:rPr>
          <w:rFonts w:asciiTheme="majorHAnsi" w:hAnsiTheme="majorHAnsi" w:cstheme="majorHAnsi"/>
          <w:sz w:val="22"/>
        </w:rPr>
        <w:t xml:space="preserve">Due to the poor retention of corals and sponges in longline </w:t>
      </w:r>
      <w:r w:rsidR="005D65E3" w:rsidRPr="00816E32">
        <w:rPr>
          <w:rFonts w:asciiTheme="majorHAnsi" w:hAnsiTheme="majorHAnsi" w:cstheme="majorHAnsi"/>
          <w:sz w:val="22"/>
        </w:rPr>
        <w:t xml:space="preserve">and trap Sablefish </w:t>
      </w:r>
      <w:r w:rsidRPr="00816E32">
        <w:rPr>
          <w:rFonts w:asciiTheme="majorHAnsi" w:hAnsiTheme="majorHAnsi" w:cstheme="majorHAnsi"/>
          <w:sz w:val="22"/>
        </w:rPr>
        <w:t>gear and limited visual data</w:t>
      </w:r>
      <w:r w:rsidR="003E6665" w:rsidRPr="00816E32">
        <w:rPr>
          <w:rFonts w:asciiTheme="majorHAnsi" w:hAnsiTheme="majorHAnsi" w:cstheme="majorHAnsi"/>
          <w:sz w:val="22"/>
        </w:rPr>
        <w:t xml:space="preserve"> </w:t>
      </w:r>
      <w:r w:rsidRPr="00816E32">
        <w:rPr>
          <w:rFonts w:asciiTheme="majorHAnsi" w:hAnsiTheme="majorHAnsi" w:cstheme="majorHAnsi"/>
          <w:sz w:val="22"/>
        </w:rPr>
        <w:t>on the distribution and density of the NPFC’s VME indicator taxa on the Cobb-Eickelberg seamount chain</w:t>
      </w:r>
      <w:r w:rsidR="003E6665" w:rsidRPr="00816E32">
        <w:rPr>
          <w:rFonts w:asciiTheme="majorHAnsi" w:hAnsiTheme="majorHAnsi" w:cstheme="majorHAnsi"/>
          <w:sz w:val="22"/>
        </w:rPr>
        <w:t xml:space="preserve"> </w:t>
      </w:r>
      <w:r w:rsidR="003E6665" w:rsidRPr="005C03E8">
        <w:rPr>
          <w:rFonts w:asciiTheme="majorHAnsi" w:hAnsiTheme="majorHAnsi" w:cstheme="majorHAnsi"/>
          <w:sz w:val="22"/>
        </w:rPr>
        <w:t>(</w:t>
      </w:r>
      <w:r w:rsidR="003E6665" w:rsidRPr="00F234D6">
        <w:rPr>
          <w:rFonts w:asciiTheme="majorHAnsi" w:hAnsiTheme="majorHAnsi" w:cstheme="majorHAnsi"/>
          <w:sz w:val="22"/>
        </w:rPr>
        <w:t>but see preliminary results from Rooper et al. 2023)</w:t>
      </w:r>
      <w:r w:rsidR="003C29CF" w:rsidRPr="00F234D6">
        <w:rPr>
          <w:rFonts w:asciiTheme="majorHAnsi" w:hAnsiTheme="majorHAnsi" w:cstheme="majorHAnsi"/>
          <w:sz w:val="22"/>
        </w:rPr>
        <w:t>,</w:t>
      </w:r>
      <w:r w:rsidR="003C29CF" w:rsidRPr="00816E32">
        <w:rPr>
          <w:rFonts w:asciiTheme="majorHAnsi" w:hAnsiTheme="majorHAnsi" w:cstheme="majorHAnsi"/>
          <w:sz w:val="22"/>
        </w:rPr>
        <w:t xml:space="preserve"> </w:t>
      </w:r>
      <w:r w:rsidR="00F43224" w:rsidRPr="00816E32">
        <w:rPr>
          <w:rFonts w:asciiTheme="majorHAnsi" w:hAnsiTheme="majorHAnsi" w:cstheme="majorHAnsi"/>
          <w:sz w:val="22"/>
        </w:rPr>
        <w:t xml:space="preserve">there </w:t>
      </w:r>
      <w:r w:rsidR="005D65E3" w:rsidRPr="00816E32">
        <w:rPr>
          <w:rFonts w:asciiTheme="majorHAnsi" w:hAnsiTheme="majorHAnsi" w:cstheme="majorHAnsi"/>
          <w:sz w:val="22"/>
        </w:rPr>
        <w:t>is limited data with which to</w:t>
      </w:r>
      <w:r w:rsidR="003C29CF" w:rsidRPr="00816E32">
        <w:rPr>
          <w:rFonts w:asciiTheme="majorHAnsi" w:hAnsiTheme="majorHAnsi" w:cstheme="majorHAnsi"/>
          <w:sz w:val="22"/>
        </w:rPr>
        <w:t xml:space="preserve"> identify VMEs </w:t>
      </w:r>
      <w:r w:rsidR="003C29CF" w:rsidRPr="00573D62">
        <w:rPr>
          <w:rFonts w:asciiTheme="majorHAnsi" w:hAnsiTheme="majorHAnsi" w:cstheme="majorHAnsi"/>
          <w:sz w:val="22"/>
        </w:rPr>
        <w:t>(as in Warawa et al. 2025</w:t>
      </w:r>
      <w:r w:rsidR="003C29CF" w:rsidRPr="00816E32">
        <w:rPr>
          <w:rFonts w:asciiTheme="majorHAnsi" w:hAnsiTheme="majorHAnsi" w:cstheme="majorHAnsi"/>
          <w:sz w:val="22"/>
        </w:rPr>
        <w:t>) in that area</w:t>
      </w:r>
      <w:r w:rsidRPr="00816E32">
        <w:rPr>
          <w:rFonts w:asciiTheme="majorHAnsi" w:hAnsiTheme="majorHAnsi" w:cstheme="majorHAnsi"/>
          <w:sz w:val="22"/>
        </w:rPr>
        <w:t xml:space="preserve">. Therefore, </w:t>
      </w:r>
      <w:r w:rsidR="003E6665" w:rsidRPr="00816E32">
        <w:rPr>
          <w:rFonts w:asciiTheme="majorHAnsi" w:hAnsiTheme="majorHAnsi" w:cstheme="majorHAnsi"/>
          <w:sz w:val="22"/>
        </w:rPr>
        <w:t>we used</w:t>
      </w:r>
      <w:r w:rsidR="003E6665">
        <w:rPr>
          <w:rFonts w:asciiTheme="majorHAnsi" w:hAnsiTheme="majorHAnsi" w:cstheme="majorHAnsi"/>
          <w:sz w:val="22"/>
        </w:rPr>
        <w:t xml:space="preserve"> </w:t>
      </w:r>
      <w:r w:rsidR="003E6665" w:rsidRPr="00573D62">
        <w:rPr>
          <w:rFonts w:asciiTheme="majorHAnsi" w:hAnsiTheme="majorHAnsi" w:cstheme="majorHAnsi"/>
          <w:sz w:val="22"/>
        </w:rPr>
        <w:t xml:space="preserve">Warawa et al.’s (2023) approach to predict the density of NPFC VME indicator taxa and applied </w:t>
      </w:r>
      <w:r w:rsidR="003C29CF" w:rsidRPr="00573D62">
        <w:rPr>
          <w:rFonts w:asciiTheme="majorHAnsi" w:hAnsiTheme="majorHAnsi" w:cstheme="majorHAnsi"/>
          <w:sz w:val="22"/>
        </w:rPr>
        <w:t>Warawa et al.’s (2025)</w:t>
      </w:r>
      <w:r w:rsidR="003C29CF">
        <w:rPr>
          <w:rFonts w:asciiTheme="majorHAnsi" w:hAnsiTheme="majorHAnsi" w:cstheme="majorHAnsi"/>
          <w:sz w:val="22"/>
        </w:rPr>
        <w:t xml:space="preserve"> </w:t>
      </w:r>
      <w:r w:rsidR="003E6665" w:rsidRPr="00816E32">
        <w:rPr>
          <w:rFonts w:asciiTheme="majorHAnsi" w:hAnsiTheme="majorHAnsi" w:cstheme="majorHAnsi"/>
          <w:sz w:val="22"/>
        </w:rPr>
        <w:t xml:space="preserve">updated VME indicator taxa density threshold </w:t>
      </w:r>
      <w:r w:rsidRPr="00816E32">
        <w:rPr>
          <w:rFonts w:asciiTheme="majorHAnsi" w:hAnsiTheme="majorHAnsi" w:cstheme="majorHAnsi"/>
          <w:sz w:val="22"/>
        </w:rPr>
        <w:t>to identify potential VMEs</w:t>
      </w:r>
      <w:r w:rsidR="003E6665" w:rsidRPr="00816E32">
        <w:rPr>
          <w:rFonts w:asciiTheme="majorHAnsi" w:hAnsiTheme="majorHAnsi" w:cstheme="majorHAnsi"/>
          <w:sz w:val="22"/>
        </w:rPr>
        <w:t xml:space="preserve"> </w:t>
      </w:r>
      <w:r w:rsidR="003C29CF" w:rsidRPr="00816E32">
        <w:rPr>
          <w:rFonts w:asciiTheme="majorHAnsi" w:hAnsiTheme="majorHAnsi" w:cstheme="majorHAnsi"/>
          <w:sz w:val="22"/>
        </w:rPr>
        <w:t>along that seamount chain</w:t>
      </w:r>
      <w:r w:rsidR="003E6665" w:rsidRPr="00816E32">
        <w:rPr>
          <w:rFonts w:asciiTheme="majorHAnsi" w:hAnsiTheme="majorHAnsi" w:cstheme="majorHAnsi"/>
          <w:sz w:val="22"/>
        </w:rPr>
        <w:t>.</w:t>
      </w:r>
      <w:r w:rsidRPr="00816E32">
        <w:rPr>
          <w:rFonts w:asciiTheme="majorHAnsi" w:hAnsiTheme="majorHAnsi" w:cstheme="majorHAnsi"/>
          <w:sz w:val="22"/>
        </w:rPr>
        <w:t xml:space="preserve"> </w:t>
      </w:r>
    </w:p>
    <w:p w14:paraId="6714A17E" w14:textId="77777777" w:rsidR="005C03E8" w:rsidRPr="00816E32" w:rsidRDefault="005C03E8" w:rsidP="005C03E8">
      <w:pPr>
        <w:rPr>
          <w:rFonts w:asciiTheme="majorHAnsi" w:hAnsiTheme="majorHAnsi" w:cstheme="majorHAnsi"/>
          <w:sz w:val="22"/>
        </w:rPr>
      </w:pPr>
    </w:p>
    <w:p w14:paraId="5C9EE741" w14:textId="77777777" w:rsidR="005C03E8" w:rsidRPr="006E3E65" w:rsidRDefault="005C03E8" w:rsidP="00EF36B3">
      <w:pPr>
        <w:pStyle w:val="Heading5"/>
        <w:rPr>
          <w:b/>
          <w:bCs/>
          <w:color w:val="auto"/>
        </w:rPr>
      </w:pPr>
      <w:r w:rsidRPr="006E3E65">
        <w:rPr>
          <w:b/>
          <w:bCs/>
          <w:color w:val="auto"/>
        </w:rPr>
        <w:t xml:space="preserve">Dependent data </w:t>
      </w:r>
    </w:p>
    <w:p w14:paraId="571A951C" w14:textId="43946F43" w:rsidR="005C03E8" w:rsidRDefault="005C03E8" w:rsidP="005C03E8">
      <w:pPr>
        <w:rPr>
          <w:rFonts w:asciiTheme="majorHAnsi" w:hAnsiTheme="majorHAnsi" w:cstheme="majorHAnsi"/>
          <w:sz w:val="22"/>
        </w:rPr>
      </w:pPr>
      <w:r w:rsidRPr="00816E32">
        <w:rPr>
          <w:rFonts w:asciiTheme="majorHAnsi" w:hAnsiTheme="majorHAnsi" w:cstheme="majorHAnsi"/>
          <w:sz w:val="22"/>
        </w:rPr>
        <w:t>We use the combined VME indicator taxa densities from 50</w:t>
      </w:r>
      <w:r w:rsidRPr="006E3E65">
        <w:rPr>
          <w:rFonts w:asciiTheme="majorHAnsi" w:hAnsiTheme="majorHAnsi" w:cstheme="majorHAnsi"/>
          <w:sz w:val="22"/>
        </w:rPr>
        <w:t>m</w:t>
      </w:r>
      <w:r w:rsidRPr="006E3E65">
        <w:rPr>
          <w:rFonts w:asciiTheme="majorHAnsi" w:hAnsiTheme="majorHAnsi" w:cstheme="majorHAnsi"/>
          <w:sz w:val="22"/>
          <w:vertAlign w:val="superscript"/>
        </w:rPr>
        <w:t>2</w:t>
      </w:r>
      <w:r w:rsidRPr="00816E32">
        <w:rPr>
          <w:rFonts w:asciiTheme="majorHAnsi" w:hAnsiTheme="majorHAnsi" w:cstheme="majorHAnsi"/>
          <w:sz w:val="22"/>
        </w:rPr>
        <w:t xml:space="preserve"> transect segments</w:t>
      </w:r>
      <w:r w:rsidRPr="005C03E8">
        <w:rPr>
          <w:rFonts w:asciiTheme="majorHAnsi" w:hAnsiTheme="majorHAnsi" w:cstheme="majorHAnsi"/>
          <w:sz w:val="22"/>
        </w:rPr>
        <w:t xml:space="preserve"> (</w:t>
      </w:r>
      <w:r w:rsidRPr="00AD76E7">
        <w:rPr>
          <w:rFonts w:asciiTheme="majorHAnsi" w:hAnsiTheme="majorHAnsi" w:cstheme="majorHAnsi"/>
          <w:sz w:val="22"/>
        </w:rPr>
        <w:t xml:space="preserve">n=221, </w:t>
      </w:r>
      <w:r w:rsidR="00AD76E7">
        <w:rPr>
          <w:rFonts w:asciiTheme="majorHAnsi" w:hAnsiTheme="majorHAnsi" w:cstheme="majorHAnsi"/>
          <w:sz w:val="22"/>
        </w:rPr>
        <w:t xml:space="preserve">see </w:t>
      </w:r>
      <w:r w:rsidRPr="00AD76E7">
        <w:rPr>
          <w:rFonts w:asciiTheme="majorHAnsi" w:hAnsiTheme="majorHAnsi" w:cstheme="majorHAnsi"/>
          <w:sz w:val="22"/>
        </w:rPr>
        <w:t>Warawa et al. 202</w:t>
      </w:r>
      <w:r w:rsidR="00047A5C" w:rsidRPr="00AD76E7">
        <w:rPr>
          <w:rFonts w:asciiTheme="majorHAnsi" w:hAnsiTheme="majorHAnsi" w:cstheme="majorHAnsi"/>
          <w:sz w:val="22"/>
        </w:rPr>
        <w:t>5</w:t>
      </w:r>
      <w:r w:rsidRPr="005C03E8">
        <w:rPr>
          <w:rFonts w:asciiTheme="majorHAnsi" w:hAnsiTheme="majorHAnsi" w:cstheme="majorHAnsi"/>
          <w:sz w:val="22"/>
        </w:rPr>
        <w:t xml:space="preserve">) </w:t>
      </w:r>
      <w:r w:rsidRPr="00816E32">
        <w:rPr>
          <w:rFonts w:asciiTheme="majorHAnsi" w:hAnsiTheme="majorHAnsi" w:cstheme="majorHAnsi"/>
          <w:sz w:val="22"/>
        </w:rPr>
        <w:t xml:space="preserve">of the 2012 Cobb Seamount Survey AUV data (Curtis et al. 2015) as the dependent data </w:t>
      </w:r>
      <w:proofErr w:type="gramStart"/>
      <w:r w:rsidRPr="00816E32">
        <w:rPr>
          <w:rFonts w:asciiTheme="majorHAnsi" w:hAnsiTheme="majorHAnsi" w:cstheme="majorHAnsi"/>
          <w:sz w:val="22"/>
        </w:rPr>
        <w:t>in</w:t>
      </w:r>
      <w:proofErr w:type="gramEnd"/>
      <w:r w:rsidRPr="00816E32">
        <w:rPr>
          <w:rFonts w:asciiTheme="majorHAnsi" w:hAnsiTheme="majorHAnsi" w:cstheme="majorHAnsi"/>
          <w:sz w:val="22"/>
        </w:rPr>
        <w:t xml:space="preserve"> models of VME density in the Cobb-Eickelberg seamount chain. Abundances of all </w:t>
      </w:r>
      <w:proofErr w:type="gramStart"/>
      <w:r w:rsidRPr="00816E32">
        <w:rPr>
          <w:rFonts w:asciiTheme="majorHAnsi" w:hAnsiTheme="majorHAnsi" w:cstheme="majorHAnsi"/>
          <w:sz w:val="22"/>
        </w:rPr>
        <w:t>structure</w:t>
      </w:r>
      <w:proofErr w:type="gramEnd"/>
      <w:r w:rsidRPr="00816E32">
        <w:rPr>
          <w:rFonts w:asciiTheme="majorHAnsi" w:hAnsiTheme="majorHAnsi" w:cstheme="majorHAnsi"/>
          <w:sz w:val="22"/>
        </w:rPr>
        <w:t xml:space="preserve"> forming corals</w:t>
      </w:r>
      <w:r w:rsidR="00047A5C" w:rsidRPr="00816E32">
        <w:rPr>
          <w:rFonts w:asciiTheme="majorHAnsi" w:hAnsiTheme="majorHAnsi" w:cstheme="majorHAnsi"/>
          <w:sz w:val="22"/>
        </w:rPr>
        <w:t xml:space="preserve"> (including pennatulaceans)</w:t>
      </w:r>
      <w:r w:rsidRPr="00816E32">
        <w:rPr>
          <w:rFonts w:asciiTheme="majorHAnsi" w:hAnsiTheme="majorHAnsi" w:cstheme="majorHAnsi"/>
          <w:sz w:val="22"/>
        </w:rPr>
        <w:t>, glass sponges, and demosponges were summed to calculate NPFC VME indicator taxa densities.</w:t>
      </w:r>
      <w:r w:rsidRPr="005C03E8">
        <w:rPr>
          <w:rFonts w:asciiTheme="majorHAnsi" w:hAnsiTheme="majorHAnsi" w:cstheme="majorHAnsi"/>
          <w:sz w:val="22"/>
        </w:rPr>
        <w:t xml:space="preserve"> </w:t>
      </w:r>
    </w:p>
    <w:p w14:paraId="55B94E20" w14:textId="77777777" w:rsidR="00EF36B3" w:rsidRPr="005C03E8" w:rsidRDefault="00EF36B3" w:rsidP="005C03E8">
      <w:pPr>
        <w:rPr>
          <w:rFonts w:asciiTheme="majorHAnsi" w:hAnsiTheme="majorHAnsi" w:cstheme="majorHAnsi"/>
          <w:sz w:val="22"/>
        </w:rPr>
      </w:pPr>
    </w:p>
    <w:p w14:paraId="31D72D9D" w14:textId="77777777" w:rsidR="005C03E8" w:rsidRPr="006E3E65" w:rsidRDefault="005C03E8" w:rsidP="00EF36B3">
      <w:pPr>
        <w:pStyle w:val="Heading5"/>
        <w:rPr>
          <w:b/>
          <w:bCs/>
          <w:color w:val="auto"/>
        </w:rPr>
      </w:pPr>
      <w:r w:rsidRPr="006E3E65">
        <w:rPr>
          <w:b/>
          <w:bCs/>
          <w:color w:val="auto"/>
        </w:rPr>
        <w:t xml:space="preserve">Environmental data </w:t>
      </w:r>
    </w:p>
    <w:p w14:paraId="21535563" w14:textId="33E13BDC" w:rsidR="00526114" w:rsidRDefault="00526114" w:rsidP="00526114">
      <w:pPr>
        <w:rPr>
          <w:rFonts w:asciiTheme="majorHAnsi" w:hAnsiTheme="majorHAnsi" w:cstheme="majorHAnsi"/>
          <w:sz w:val="22"/>
        </w:rPr>
      </w:pPr>
      <w:r w:rsidRPr="005B0188">
        <w:rPr>
          <w:rFonts w:asciiTheme="majorHAnsi" w:hAnsiTheme="majorHAnsi" w:cstheme="majorHAnsi"/>
          <w:sz w:val="22"/>
        </w:rPr>
        <w:t>We considered the following</w:t>
      </w:r>
      <w:r w:rsidRPr="00E24F7E">
        <w:rPr>
          <w:rFonts w:asciiTheme="majorHAnsi" w:hAnsiTheme="majorHAnsi" w:cstheme="majorHAnsi"/>
          <w:sz w:val="22"/>
        </w:rPr>
        <w:t xml:space="preserve"> environmental raster layers from </w:t>
      </w:r>
      <w:r w:rsidRPr="004F410F">
        <w:rPr>
          <w:rFonts w:asciiTheme="majorHAnsi" w:hAnsiTheme="majorHAnsi" w:cstheme="majorHAnsi"/>
          <w:sz w:val="22"/>
        </w:rPr>
        <w:t>Chu et al. (2019)</w:t>
      </w:r>
      <w:r w:rsidRPr="00E24F7E">
        <w:rPr>
          <w:rFonts w:asciiTheme="majorHAnsi" w:hAnsiTheme="majorHAnsi" w:cstheme="majorHAnsi"/>
          <w:sz w:val="22"/>
        </w:rPr>
        <w:t xml:space="preserve"> for modelling VME indicator density based on prior knowledge of environmental conditions that strongly influence the density and distribution of corals and sponges: depth, calcite, dissolved oxygen, percent organic carbon, </w:t>
      </w:r>
      <w:proofErr w:type="spellStart"/>
      <w:r w:rsidRPr="00E24F7E">
        <w:rPr>
          <w:rFonts w:asciiTheme="majorHAnsi" w:hAnsiTheme="majorHAnsi" w:cstheme="majorHAnsi"/>
          <w:sz w:val="22"/>
        </w:rPr>
        <w:t>northness</w:t>
      </w:r>
      <w:proofErr w:type="spellEnd"/>
      <w:r w:rsidRPr="00E24F7E">
        <w:rPr>
          <w:rFonts w:asciiTheme="majorHAnsi" w:hAnsiTheme="majorHAnsi" w:cstheme="majorHAnsi"/>
          <w:sz w:val="22"/>
        </w:rPr>
        <w:t xml:space="preserve">, silicate, slope, bottom temperature, topographic position index (TPI) at spatial scales of 1000, 500, and 100 meters, </w:t>
      </w:r>
      <w:proofErr w:type="spellStart"/>
      <w:r w:rsidRPr="00E24F7E">
        <w:rPr>
          <w:rFonts w:asciiTheme="majorHAnsi" w:hAnsiTheme="majorHAnsi" w:cstheme="majorHAnsi"/>
          <w:sz w:val="22"/>
        </w:rPr>
        <w:t>eastness</w:t>
      </w:r>
      <w:proofErr w:type="spellEnd"/>
      <w:r w:rsidRPr="00E24F7E">
        <w:rPr>
          <w:rFonts w:asciiTheme="majorHAnsi" w:hAnsiTheme="majorHAnsi" w:cstheme="majorHAnsi"/>
          <w:sz w:val="22"/>
        </w:rPr>
        <w:t xml:space="preserve">, and sea surface temperature. We considered </w:t>
      </w:r>
      <w:proofErr w:type="spellStart"/>
      <w:r w:rsidRPr="00E24F7E">
        <w:rPr>
          <w:rFonts w:asciiTheme="majorHAnsi" w:hAnsiTheme="majorHAnsi" w:cstheme="majorHAnsi"/>
          <w:sz w:val="22"/>
        </w:rPr>
        <w:t>eastness</w:t>
      </w:r>
      <w:proofErr w:type="spellEnd"/>
      <w:r w:rsidRPr="00E24F7E">
        <w:rPr>
          <w:rFonts w:asciiTheme="majorHAnsi" w:hAnsiTheme="majorHAnsi" w:cstheme="majorHAnsi"/>
          <w:sz w:val="22"/>
        </w:rPr>
        <w:t xml:space="preserve"> and </w:t>
      </w:r>
      <w:proofErr w:type="spellStart"/>
      <w:r w:rsidRPr="00E24F7E">
        <w:rPr>
          <w:rFonts w:asciiTheme="majorHAnsi" w:hAnsiTheme="majorHAnsi" w:cstheme="majorHAnsi"/>
          <w:sz w:val="22"/>
        </w:rPr>
        <w:t>northness</w:t>
      </w:r>
      <w:proofErr w:type="spellEnd"/>
      <w:r w:rsidRPr="00E24F7E">
        <w:rPr>
          <w:rFonts w:asciiTheme="majorHAnsi" w:hAnsiTheme="majorHAnsi" w:cstheme="majorHAnsi"/>
          <w:sz w:val="22"/>
        </w:rPr>
        <w:t xml:space="preserve"> as proxies for other variables that were not available or were not well resolved over the seamounts along the Cobb-Eickelberg seamount chain, such as current velocity and shear stress. Environmental raster layers were downscaled to 100 m x 100m. We extracted model covariates from the environmental raster layers at the centroid locations of the AUV segments, using the </w:t>
      </w:r>
      <w:r w:rsidRPr="00E24F7E">
        <w:rPr>
          <w:rFonts w:asciiTheme="majorHAnsi" w:hAnsiTheme="majorHAnsi" w:cstheme="majorHAnsi"/>
          <w:i/>
          <w:iCs/>
          <w:sz w:val="22"/>
        </w:rPr>
        <w:t xml:space="preserve">terra </w:t>
      </w:r>
      <w:r w:rsidRPr="00E24F7E">
        <w:rPr>
          <w:rFonts w:asciiTheme="majorHAnsi" w:hAnsiTheme="majorHAnsi" w:cstheme="majorHAnsi"/>
          <w:sz w:val="22"/>
        </w:rPr>
        <w:t xml:space="preserve">R </w:t>
      </w:r>
      <w:r w:rsidRPr="005B5E99">
        <w:rPr>
          <w:rFonts w:asciiTheme="majorHAnsi" w:hAnsiTheme="majorHAnsi" w:cstheme="majorHAnsi"/>
          <w:sz w:val="22"/>
        </w:rPr>
        <w:t>package (</w:t>
      </w:r>
      <w:proofErr w:type="spellStart"/>
      <w:r w:rsidRPr="005B5E99">
        <w:rPr>
          <w:rFonts w:asciiTheme="majorHAnsi" w:hAnsiTheme="majorHAnsi" w:cstheme="majorHAnsi"/>
          <w:sz w:val="22"/>
        </w:rPr>
        <w:t>Hijmans</w:t>
      </w:r>
      <w:proofErr w:type="spellEnd"/>
      <w:r w:rsidRPr="005B5E99">
        <w:rPr>
          <w:rFonts w:asciiTheme="majorHAnsi" w:hAnsiTheme="majorHAnsi" w:cstheme="majorHAnsi"/>
          <w:sz w:val="22"/>
        </w:rPr>
        <w:t xml:space="preserve"> 2022). We</w:t>
      </w:r>
      <w:r w:rsidRPr="00E24F7E">
        <w:rPr>
          <w:rFonts w:asciiTheme="majorHAnsi" w:hAnsiTheme="majorHAnsi" w:cstheme="majorHAnsi"/>
          <w:sz w:val="22"/>
        </w:rPr>
        <w:t xml:space="preserve"> checked for high collinearity among the model covariates using Pearson’s correlations and Variance Inflation Factor (VIF) using the </w:t>
      </w:r>
      <w:proofErr w:type="spellStart"/>
      <w:r w:rsidRPr="00E24F7E">
        <w:rPr>
          <w:rFonts w:asciiTheme="majorHAnsi" w:hAnsiTheme="majorHAnsi" w:cstheme="majorHAnsi"/>
          <w:i/>
          <w:iCs/>
          <w:sz w:val="22"/>
        </w:rPr>
        <w:t>usdm</w:t>
      </w:r>
      <w:proofErr w:type="spellEnd"/>
      <w:r w:rsidRPr="00E24F7E">
        <w:rPr>
          <w:rFonts w:asciiTheme="majorHAnsi" w:hAnsiTheme="majorHAnsi" w:cstheme="majorHAnsi"/>
          <w:i/>
          <w:iCs/>
          <w:sz w:val="22"/>
        </w:rPr>
        <w:t xml:space="preserve"> </w:t>
      </w:r>
      <w:r w:rsidRPr="00E24F7E">
        <w:rPr>
          <w:rFonts w:asciiTheme="majorHAnsi" w:hAnsiTheme="majorHAnsi" w:cstheme="majorHAnsi"/>
          <w:sz w:val="22"/>
        </w:rPr>
        <w:t xml:space="preserve">R </w:t>
      </w:r>
      <w:r w:rsidRPr="005B5E99">
        <w:rPr>
          <w:rFonts w:asciiTheme="majorHAnsi" w:hAnsiTheme="majorHAnsi" w:cstheme="majorHAnsi"/>
          <w:sz w:val="22"/>
        </w:rPr>
        <w:t>package (Naimi et al.</w:t>
      </w:r>
      <w:r w:rsidR="006E3E65" w:rsidRPr="005B5E99">
        <w:rPr>
          <w:rFonts w:asciiTheme="majorHAnsi" w:hAnsiTheme="majorHAnsi" w:cstheme="majorHAnsi"/>
          <w:sz w:val="22"/>
        </w:rPr>
        <w:t xml:space="preserve"> </w:t>
      </w:r>
      <w:r w:rsidRPr="005B5E99">
        <w:rPr>
          <w:rFonts w:asciiTheme="majorHAnsi" w:hAnsiTheme="majorHAnsi" w:cstheme="majorHAnsi"/>
          <w:sz w:val="22"/>
        </w:rPr>
        <w:t>2014). We</w:t>
      </w:r>
      <w:r w:rsidRPr="00E24F7E">
        <w:rPr>
          <w:rFonts w:asciiTheme="majorHAnsi" w:hAnsiTheme="majorHAnsi" w:cstheme="majorHAnsi"/>
          <w:sz w:val="22"/>
        </w:rPr>
        <w:t xml:space="preserve"> removed silicate, bottom temperature, calcite, sea surface temperature, TPI 100, and TPI 1000 covariates to limit VIF values to less than 10.</w:t>
      </w:r>
      <w:r w:rsidRPr="005C03E8">
        <w:rPr>
          <w:rFonts w:asciiTheme="majorHAnsi" w:hAnsiTheme="majorHAnsi" w:cstheme="majorHAnsi"/>
          <w:sz w:val="22"/>
        </w:rPr>
        <w:t xml:space="preserve"> </w:t>
      </w:r>
    </w:p>
    <w:p w14:paraId="01F6B3C8" w14:textId="77777777" w:rsidR="00EF36B3" w:rsidRDefault="00EF36B3" w:rsidP="005C03E8">
      <w:pPr>
        <w:rPr>
          <w:rFonts w:asciiTheme="majorHAnsi" w:hAnsiTheme="majorHAnsi" w:cstheme="majorHAnsi"/>
          <w:sz w:val="22"/>
        </w:rPr>
      </w:pPr>
    </w:p>
    <w:p w14:paraId="6A726A5A" w14:textId="7789F130" w:rsidR="005C03E8" w:rsidRPr="006E3E65" w:rsidRDefault="005C03E8" w:rsidP="00EF36B3">
      <w:pPr>
        <w:pStyle w:val="Heading5"/>
        <w:rPr>
          <w:b/>
          <w:bCs/>
          <w:color w:val="auto"/>
        </w:rPr>
      </w:pPr>
      <w:r w:rsidRPr="006E3E65">
        <w:rPr>
          <w:b/>
          <w:bCs/>
          <w:color w:val="auto"/>
        </w:rPr>
        <w:t xml:space="preserve">Model fitting and selection </w:t>
      </w:r>
    </w:p>
    <w:p w14:paraId="2FD7AD84" w14:textId="77777777" w:rsidR="007356F7" w:rsidRPr="005C03E8" w:rsidRDefault="007356F7" w:rsidP="005B0188">
      <w:pPr>
        <w:rPr>
          <w:rFonts w:asciiTheme="majorHAnsi" w:hAnsiTheme="majorHAnsi" w:cstheme="majorHAnsi"/>
          <w:sz w:val="22"/>
        </w:rPr>
      </w:pPr>
      <w:r w:rsidRPr="005B0188">
        <w:rPr>
          <w:rFonts w:asciiTheme="majorHAnsi" w:hAnsiTheme="majorHAnsi" w:cstheme="majorHAnsi"/>
          <w:sz w:val="22"/>
        </w:rPr>
        <w:t xml:space="preserve">We fit a generalized additive model (GAM) using the </w:t>
      </w:r>
      <w:proofErr w:type="spellStart"/>
      <w:r w:rsidRPr="005B0188">
        <w:rPr>
          <w:rFonts w:asciiTheme="majorHAnsi" w:hAnsiTheme="majorHAnsi" w:cstheme="majorHAnsi"/>
          <w:i/>
          <w:iCs/>
          <w:sz w:val="22"/>
        </w:rPr>
        <w:t>mgcv</w:t>
      </w:r>
      <w:proofErr w:type="spellEnd"/>
      <w:r w:rsidRPr="005B0188">
        <w:rPr>
          <w:rFonts w:asciiTheme="majorHAnsi" w:hAnsiTheme="majorHAnsi" w:cstheme="majorHAnsi"/>
          <w:i/>
          <w:iCs/>
          <w:sz w:val="22"/>
        </w:rPr>
        <w:t xml:space="preserve"> </w:t>
      </w:r>
      <w:r w:rsidRPr="005B0188">
        <w:rPr>
          <w:rFonts w:asciiTheme="majorHAnsi" w:hAnsiTheme="majorHAnsi" w:cstheme="majorHAnsi"/>
          <w:sz w:val="22"/>
        </w:rPr>
        <w:t xml:space="preserve">R package </w:t>
      </w:r>
      <w:r w:rsidRPr="00CE7650">
        <w:rPr>
          <w:rFonts w:asciiTheme="majorHAnsi" w:hAnsiTheme="majorHAnsi" w:cstheme="majorHAnsi"/>
          <w:sz w:val="22"/>
        </w:rPr>
        <w:t>(Wood 2011).</w:t>
      </w:r>
      <w:r w:rsidRPr="005B0188">
        <w:rPr>
          <w:rFonts w:asciiTheme="majorHAnsi" w:hAnsiTheme="majorHAnsi" w:cstheme="majorHAnsi"/>
          <w:sz w:val="22"/>
        </w:rPr>
        <w:t xml:space="preserve"> We modelled VME indicator taxa density using</w:t>
      </w:r>
      <w:r w:rsidRPr="00E24F7E">
        <w:rPr>
          <w:rFonts w:asciiTheme="majorHAnsi" w:hAnsiTheme="majorHAnsi" w:cstheme="majorHAnsi"/>
          <w:sz w:val="22"/>
        </w:rPr>
        <w:t xml:space="preserve"> the Tweedie distribution with a log link, setting the power parameter p to 1.5. Predictions were limited to areas between 400 m and 1200 m depth to avoid extrapolating beyond the depth range of the observations of VME density (dependent data). We limited complexity by modelling all covariates using a low basis dimension (k=3) </w:t>
      </w:r>
      <w:proofErr w:type="gramStart"/>
      <w:r w:rsidRPr="00E24F7E">
        <w:rPr>
          <w:rFonts w:asciiTheme="majorHAnsi" w:hAnsiTheme="majorHAnsi" w:cstheme="majorHAnsi"/>
          <w:sz w:val="22"/>
        </w:rPr>
        <w:t>in order to</w:t>
      </w:r>
      <w:proofErr w:type="gramEnd"/>
      <w:r w:rsidRPr="00E24F7E">
        <w:rPr>
          <w:rFonts w:asciiTheme="majorHAnsi" w:hAnsiTheme="majorHAnsi" w:cstheme="majorHAnsi"/>
          <w:sz w:val="22"/>
        </w:rPr>
        <w:t xml:space="preserve"> avoid biologically unrealistic response curves. We completed backwards model selection, starting with the full model and removing covariates based on model out-of-sample predictive performance and marginal response curves. We </w:t>
      </w:r>
      <w:proofErr w:type="spellStart"/>
      <w:r w:rsidRPr="00E24F7E">
        <w:rPr>
          <w:rFonts w:asciiTheme="majorHAnsi" w:hAnsiTheme="majorHAnsi" w:cstheme="majorHAnsi"/>
          <w:sz w:val="22"/>
        </w:rPr>
        <w:t>favoured</w:t>
      </w:r>
      <w:proofErr w:type="spellEnd"/>
      <w:r w:rsidRPr="00E24F7E">
        <w:rPr>
          <w:rFonts w:asciiTheme="majorHAnsi" w:hAnsiTheme="majorHAnsi" w:cstheme="majorHAnsi"/>
          <w:sz w:val="22"/>
        </w:rPr>
        <w:t xml:space="preserve"> models with higher R</w:t>
      </w:r>
      <w:r w:rsidRPr="00E24F7E">
        <w:rPr>
          <w:rFonts w:asciiTheme="majorHAnsi" w:hAnsiTheme="majorHAnsi" w:cstheme="majorHAnsi"/>
          <w:sz w:val="22"/>
          <w:vertAlign w:val="superscript"/>
        </w:rPr>
        <w:t>2</w:t>
      </w:r>
      <w:r w:rsidRPr="00E24F7E">
        <w:rPr>
          <w:rFonts w:asciiTheme="majorHAnsi" w:hAnsiTheme="majorHAnsi" w:cstheme="majorHAnsi"/>
          <w:sz w:val="22"/>
        </w:rPr>
        <w:t xml:space="preserve"> calculated by comparing test observations and predictions, and models with more realistic response curves that showed no large deviations in VME density predictions within extrapolated covariate space. We calculated marginal response curves following the evaluation strip </w:t>
      </w:r>
      <w:r w:rsidRPr="004F410F">
        <w:rPr>
          <w:rFonts w:asciiTheme="majorHAnsi" w:hAnsiTheme="majorHAnsi" w:cstheme="majorHAnsi"/>
          <w:sz w:val="22"/>
        </w:rPr>
        <w:t>method (Elith et al. 2005).</w:t>
      </w:r>
      <w:r w:rsidRPr="00E24F7E">
        <w:rPr>
          <w:rFonts w:asciiTheme="majorHAnsi" w:hAnsiTheme="majorHAnsi" w:cstheme="majorHAnsi"/>
          <w:sz w:val="22"/>
        </w:rPr>
        <w:t xml:space="preserve"> During model selection, we removed the covariates dissolved oxygen, percent organic carbon, </w:t>
      </w:r>
      <w:proofErr w:type="spellStart"/>
      <w:r w:rsidRPr="00E24F7E">
        <w:rPr>
          <w:rFonts w:asciiTheme="majorHAnsi" w:hAnsiTheme="majorHAnsi" w:cstheme="majorHAnsi"/>
          <w:sz w:val="22"/>
        </w:rPr>
        <w:t>eastness</w:t>
      </w:r>
      <w:proofErr w:type="spellEnd"/>
      <w:r w:rsidRPr="00E24F7E">
        <w:rPr>
          <w:rFonts w:asciiTheme="majorHAnsi" w:hAnsiTheme="majorHAnsi" w:cstheme="majorHAnsi"/>
          <w:sz w:val="22"/>
        </w:rPr>
        <w:t xml:space="preserve">, and TPI 500. The final model structure included only the covariates depth, </w:t>
      </w:r>
      <w:proofErr w:type="spellStart"/>
      <w:r w:rsidRPr="00E24F7E">
        <w:rPr>
          <w:rFonts w:asciiTheme="majorHAnsi" w:hAnsiTheme="majorHAnsi" w:cstheme="majorHAnsi"/>
          <w:sz w:val="22"/>
        </w:rPr>
        <w:t>northness</w:t>
      </w:r>
      <w:proofErr w:type="spellEnd"/>
      <w:r w:rsidRPr="00E24F7E">
        <w:rPr>
          <w:rFonts w:asciiTheme="majorHAnsi" w:hAnsiTheme="majorHAnsi" w:cstheme="majorHAnsi"/>
          <w:sz w:val="22"/>
        </w:rPr>
        <w:t xml:space="preserve"> and slope. Model validation was completed using the </w:t>
      </w:r>
      <w:proofErr w:type="spellStart"/>
      <w:proofErr w:type="gramStart"/>
      <w:r w:rsidRPr="00E24F7E">
        <w:rPr>
          <w:rFonts w:asciiTheme="majorHAnsi" w:hAnsiTheme="majorHAnsi" w:cstheme="majorHAnsi"/>
          <w:i/>
          <w:iCs/>
          <w:sz w:val="22"/>
        </w:rPr>
        <w:t>gam.check</w:t>
      </w:r>
      <w:proofErr w:type="spellEnd"/>
      <w:proofErr w:type="gramEnd"/>
      <w:r w:rsidRPr="00E24F7E">
        <w:rPr>
          <w:rFonts w:asciiTheme="majorHAnsi" w:hAnsiTheme="majorHAnsi" w:cstheme="majorHAnsi"/>
          <w:i/>
          <w:iCs/>
          <w:sz w:val="22"/>
        </w:rPr>
        <w:t xml:space="preserve"> </w:t>
      </w:r>
      <w:r w:rsidRPr="00E24F7E">
        <w:rPr>
          <w:rFonts w:asciiTheme="majorHAnsi" w:hAnsiTheme="majorHAnsi" w:cstheme="majorHAnsi"/>
          <w:sz w:val="22"/>
        </w:rPr>
        <w:t xml:space="preserve">function from the </w:t>
      </w:r>
      <w:proofErr w:type="spellStart"/>
      <w:r w:rsidRPr="00E24F7E">
        <w:rPr>
          <w:rFonts w:asciiTheme="majorHAnsi" w:hAnsiTheme="majorHAnsi" w:cstheme="majorHAnsi"/>
          <w:i/>
          <w:iCs/>
          <w:sz w:val="22"/>
        </w:rPr>
        <w:t>mgcv</w:t>
      </w:r>
      <w:proofErr w:type="spellEnd"/>
      <w:r w:rsidRPr="00E24F7E">
        <w:rPr>
          <w:rFonts w:asciiTheme="majorHAnsi" w:hAnsiTheme="majorHAnsi" w:cstheme="majorHAnsi"/>
          <w:i/>
          <w:iCs/>
          <w:sz w:val="22"/>
        </w:rPr>
        <w:t xml:space="preserve"> </w:t>
      </w:r>
      <w:r w:rsidRPr="00E24F7E">
        <w:rPr>
          <w:rFonts w:asciiTheme="majorHAnsi" w:hAnsiTheme="majorHAnsi" w:cstheme="majorHAnsi"/>
          <w:sz w:val="22"/>
        </w:rPr>
        <w:t xml:space="preserve">R package to examine </w:t>
      </w:r>
      <w:r w:rsidRPr="00E24F7E">
        <w:rPr>
          <w:rFonts w:asciiTheme="majorHAnsi" w:hAnsiTheme="majorHAnsi" w:cstheme="majorHAnsi"/>
          <w:sz w:val="22"/>
        </w:rPr>
        <w:lastRenderedPageBreak/>
        <w:t xml:space="preserve">residuals. </w:t>
      </w:r>
      <w:r w:rsidRPr="00A32D41">
        <w:rPr>
          <w:rFonts w:asciiTheme="majorHAnsi" w:hAnsiTheme="majorHAnsi" w:cstheme="majorHAnsi"/>
          <w:sz w:val="22"/>
        </w:rPr>
        <w:t>Figure 2</w:t>
      </w:r>
      <w:r w:rsidRPr="00E24F7E">
        <w:rPr>
          <w:rFonts w:asciiTheme="majorHAnsi" w:hAnsiTheme="majorHAnsi" w:cstheme="majorHAnsi"/>
          <w:sz w:val="22"/>
        </w:rPr>
        <w:t xml:space="preserve"> shows the predictive map produced by the final model.</w:t>
      </w:r>
    </w:p>
    <w:p w14:paraId="2CB3C3C7" w14:textId="77777777" w:rsidR="00EE364C" w:rsidRDefault="00EE364C" w:rsidP="005B0188">
      <w:pPr>
        <w:rPr>
          <w:rFonts w:asciiTheme="majorHAnsi" w:hAnsiTheme="majorHAnsi" w:cstheme="majorHAnsi"/>
          <w:i/>
          <w:iCs/>
          <w:sz w:val="22"/>
        </w:rPr>
      </w:pPr>
    </w:p>
    <w:p w14:paraId="65F74B36" w14:textId="00D1D840" w:rsidR="007F03CC" w:rsidRDefault="007F03CC" w:rsidP="005B0188">
      <w:pPr>
        <w:rPr>
          <w:rFonts w:asciiTheme="majorHAnsi" w:hAnsiTheme="majorHAnsi" w:cstheme="majorHAnsi"/>
          <w:b/>
          <w:bCs/>
          <w:sz w:val="22"/>
        </w:rPr>
      </w:pPr>
      <w:r>
        <w:rPr>
          <w:rFonts w:asciiTheme="majorHAnsi" w:hAnsiTheme="majorHAnsi" w:cstheme="majorHAnsi"/>
          <w:b/>
          <w:bCs/>
          <w:noProof/>
          <w:sz w:val="22"/>
        </w:rPr>
        <w:drawing>
          <wp:inline distT="0" distB="0" distL="0" distR="0" wp14:anchorId="490E363D" wp14:editId="1B029FE1">
            <wp:extent cx="6043930" cy="6842189"/>
            <wp:effectExtent l="0" t="0" r="0" b="0"/>
            <wp:docPr id="1569845263" name="Picture 7" descr="A screenshot of a computer generated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45263" name="Picture 7" descr="A screenshot of a computer generated map&#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l="38619" t="3024" r="15829" b="5278"/>
                    <a:stretch/>
                  </pic:blipFill>
                  <pic:spPr bwMode="auto">
                    <a:xfrm>
                      <a:off x="0" y="0"/>
                      <a:ext cx="6064531" cy="6865511"/>
                    </a:xfrm>
                    <a:prstGeom prst="rect">
                      <a:avLst/>
                    </a:prstGeom>
                    <a:noFill/>
                    <a:ln>
                      <a:noFill/>
                    </a:ln>
                    <a:extLst>
                      <a:ext uri="{53640926-AAD7-44D8-BBD7-CCE9431645EC}">
                        <a14:shadowObscured xmlns:a14="http://schemas.microsoft.com/office/drawing/2010/main"/>
                      </a:ext>
                    </a:extLst>
                  </pic:spPr>
                </pic:pic>
              </a:graphicData>
            </a:graphic>
          </wp:inline>
        </w:drawing>
      </w:r>
    </w:p>
    <w:p w14:paraId="5B0D32DA" w14:textId="77777777" w:rsidR="007F03CC" w:rsidRDefault="007F03CC" w:rsidP="005B0188">
      <w:pPr>
        <w:rPr>
          <w:rFonts w:asciiTheme="majorHAnsi" w:hAnsiTheme="majorHAnsi" w:cstheme="majorHAnsi"/>
          <w:b/>
          <w:bCs/>
          <w:sz w:val="22"/>
        </w:rPr>
      </w:pPr>
    </w:p>
    <w:p w14:paraId="2464C60A" w14:textId="77777777" w:rsidR="007F03CC" w:rsidRDefault="007F03CC" w:rsidP="005B0188">
      <w:pPr>
        <w:rPr>
          <w:rFonts w:asciiTheme="majorHAnsi" w:hAnsiTheme="majorHAnsi" w:cstheme="majorHAnsi"/>
          <w:i/>
          <w:iCs/>
          <w:sz w:val="22"/>
        </w:rPr>
      </w:pPr>
      <w:r w:rsidRPr="00641E18">
        <w:rPr>
          <w:rFonts w:asciiTheme="majorHAnsi" w:hAnsiTheme="majorHAnsi" w:cstheme="majorHAnsi"/>
          <w:i/>
          <w:iCs/>
          <w:sz w:val="22"/>
        </w:rPr>
        <w:t>Figure 2. GAM-based VME density prediction map for the Cobb-Eickelberg seamount chain Northern Seamounts (a) and Southern Seamounts (b</w:t>
      </w:r>
      <w:proofErr w:type="gramStart"/>
      <w:r w:rsidRPr="00641E18">
        <w:rPr>
          <w:rFonts w:asciiTheme="majorHAnsi" w:hAnsiTheme="majorHAnsi" w:cstheme="majorHAnsi"/>
          <w:i/>
          <w:iCs/>
          <w:sz w:val="22"/>
        </w:rPr>
        <w:t>).Red</w:t>
      </w:r>
      <w:proofErr w:type="gramEnd"/>
      <w:r w:rsidRPr="00641E18">
        <w:rPr>
          <w:rFonts w:asciiTheme="majorHAnsi" w:hAnsiTheme="majorHAnsi" w:cstheme="majorHAnsi"/>
          <w:i/>
          <w:iCs/>
          <w:sz w:val="22"/>
        </w:rPr>
        <w:t xml:space="preserve"> represents predicted high </w:t>
      </w:r>
      <w:proofErr w:type="gramStart"/>
      <w:r w:rsidRPr="00641E18">
        <w:rPr>
          <w:rFonts w:asciiTheme="majorHAnsi" w:hAnsiTheme="majorHAnsi" w:cstheme="majorHAnsi"/>
          <w:i/>
          <w:iCs/>
          <w:sz w:val="22"/>
        </w:rPr>
        <w:t>density</w:t>
      </w:r>
      <w:proofErr w:type="gramEnd"/>
      <w:r w:rsidRPr="00641E18">
        <w:rPr>
          <w:rFonts w:asciiTheme="majorHAnsi" w:hAnsiTheme="majorHAnsi" w:cstheme="majorHAnsi"/>
          <w:i/>
          <w:iCs/>
          <w:sz w:val="22"/>
        </w:rPr>
        <w:t xml:space="preserve"> and green represents predicted low density. Grey shaded area represents seamount depths outside of the prediction area, which was limited to 400-1200m in depth.</w:t>
      </w:r>
    </w:p>
    <w:p w14:paraId="65D6368A" w14:textId="77777777" w:rsidR="007F03CC" w:rsidRDefault="007F03CC" w:rsidP="00EE364C">
      <w:pPr>
        <w:rPr>
          <w:rFonts w:asciiTheme="majorHAnsi" w:hAnsiTheme="majorHAnsi" w:cstheme="majorHAnsi"/>
          <w:i/>
          <w:iCs/>
          <w:sz w:val="22"/>
        </w:rPr>
      </w:pPr>
    </w:p>
    <w:p w14:paraId="567FB45A" w14:textId="77777777" w:rsidR="00EE364C" w:rsidRPr="006E3E65" w:rsidRDefault="00EE364C" w:rsidP="00EE364C">
      <w:pPr>
        <w:pStyle w:val="Heading5"/>
        <w:rPr>
          <w:b/>
          <w:bCs/>
          <w:color w:val="auto"/>
        </w:rPr>
      </w:pPr>
      <w:r w:rsidRPr="006E3E65">
        <w:rPr>
          <w:b/>
          <w:bCs/>
          <w:color w:val="auto"/>
        </w:rPr>
        <w:lastRenderedPageBreak/>
        <w:t xml:space="preserve">Model evaluation </w:t>
      </w:r>
    </w:p>
    <w:p w14:paraId="4715EB65" w14:textId="77777777" w:rsidR="0019034B" w:rsidRPr="005B0188" w:rsidRDefault="0019034B" w:rsidP="0019034B">
      <w:pPr>
        <w:rPr>
          <w:rFonts w:asciiTheme="majorHAnsi" w:hAnsiTheme="majorHAnsi" w:cstheme="majorHAnsi"/>
          <w:sz w:val="22"/>
        </w:rPr>
      </w:pPr>
      <w:r w:rsidRPr="005B0188">
        <w:rPr>
          <w:rFonts w:asciiTheme="majorHAnsi" w:hAnsiTheme="majorHAnsi" w:cstheme="majorHAnsi"/>
          <w:sz w:val="22"/>
        </w:rPr>
        <w:t>AUV segments were grouped into five roughly equal folds for cross-validation (CV; 44 or 45 AUV transect segments in each fold). The folds were spatially aggregated along each transect to reduce the amount of spatial autocorrelation between training and testing data. For each CV model, we made predictions at the test (hold-out) data locations. We pooled the test predictions from the CV models to calculate R</w:t>
      </w:r>
      <w:r w:rsidRPr="005B0188">
        <w:rPr>
          <w:rFonts w:asciiTheme="majorHAnsi" w:hAnsiTheme="majorHAnsi" w:cstheme="majorHAnsi"/>
          <w:sz w:val="22"/>
          <w:vertAlign w:val="superscript"/>
        </w:rPr>
        <w:t>2</w:t>
      </w:r>
      <w:r w:rsidRPr="005B0188">
        <w:rPr>
          <w:rFonts w:asciiTheme="majorHAnsi" w:hAnsiTheme="majorHAnsi" w:cstheme="majorHAnsi"/>
          <w:sz w:val="22"/>
        </w:rPr>
        <w:t xml:space="preserve"> as the squared Pearson’s correlation between all test observation and test predictions. We opted to pool test predictions to calculate a single R</w:t>
      </w:r>
      <w:r w:rsidRPr="005B0188">
        <w:rPr>
          <w:rFonts w:asciiTheme="majorHAnsi" w:hAnsiTheme="majorHAnsi" w:cstheme="majorHAnsi"/>
          <w:sz w:val="22"/>
          <w:vertAlign w:val="superscript"/>
        </w:rPr>
        <w:t>2</w:t>
      </w:r>
      <w:r w:rsidRPr="005B0188">
        <w:rPr>
          <w:rFonts w:asciiTheme="majorHAnsi" w:hAnsiTheme="majorHAnsi" w:cstheme="majorHAnsi"/>
          <w:sz w:val="22"/>
        </w:rPr>
        <w:t xml:space="preserve"> because of our small sample size and a high proportion of zero observations in </w:t>
      </w:r>
      <w:proofErr w:type="gramStart"/>
      <w:r w:rsidRPr="005B0188">
        <w:rPr>
          <w:rFonts w:asciiTheme="majorHAnsi" w:hAnsiTheme="majorHAnsi" w:cstheme="majorHAnsi"/>
          <w:sz w:val="22"/>
        </w:rPr>
        <w:t>one fold</w:t>
      </w:r>
      <w:proofErr w:type="gramEnd"/>
      <w:r w:rsidRPr="005B0188">
        <w:rPr>
          <w:rFonts w:asciiTheme="majorHAnsi" w:hAnsiTheme="majorHAnsi" w:cstheme="majorHAnsi"/>
          <w:sz w:val="22"/>
        </w:rPr>
        <w:t>. Training data R</w:t>
      </w:r>
      <w:r w:rsidRPr="005B0188">
        <w:rPr>
          <w:rFonts w:asciiTheme="majorHAnsi" w:hAnsiTheme="majorHAnsi" w:cstheme="majorHAnsi"/>
          <w:sz w:val="20"/>
          <w:szCs w:val="20"/>
          <w:vertAlign w:val="superscript"/>
        </w:rPr>
        <w:t>2</w:t>
      </w:r>
      <w:r w:rsidRPr="005B0188">
        <w:rPr>
          <w:rFonts w:asciiTheme="majorHAnsi" w:hAnsiTheme="majorHAnsi" w:cstheme="majorHAnsi"/>
          <w:sz w:val="22"/>
        </w:rPr>
        <w:t xml:space="preserve"> was 0.512 and testing data R</w:t>
      </w:r>
      <w:r w:rsidRPr="005B0188">
        <w:rPr>
          <w:rFonts w:asciiTheme="majorHAnsi" w:hAnsiTheme="majorHAnsi" w:cstheme="majorHAnsi"/>
          <w:sz w:val="22"/>
          <w:vertAlign w:val="superscript"/>
        </w:rPr>
        <w:t>2</w:t>
      </w:r>
      <w:r w:rsidRPr="005B0188">
        <w:rPr>
          <w:rFonts w:asciiTheme="majorHAnsi" w:hAnsiTheme="majorHAnsi" w:cstheme="majorHAnsi"/>
          <w:sz w:val="22"/>
        </w:rPr>
        <w:t xml:space="preserve"> was 0.387. </w:t>
      </w:r>
    </w:p>
    <w:p w14:paraId="2F461B98" w14:textId="77777777" w:rsidR="00EE364C" w:rsidRPr="005B0188" w:rsidRDefault="00EE364C" w:rsidP="00670FC2">
      <w:pPr>
        <w:rPr>
          <w:rFonts w:asciiTheme="majorHAnsi" w:hAnsiTheme="majorHAnsi" w:cstheme="majorHAnsi"/>
          <w:sz w:val="22"/>
        </w:rPr>
      </w:pPr>
    </w:p>
    <w:p w14:paraId="5A6E0DA3" w14:textId="77777777" w:rsidR="00EE364C" w:rsidRPr="005B0188" w:rsidRDefault="00EE364C" w:rsidP="00670FC2">
      <w:pPr>
        <w:rPr>
          <w:rFonts w:asciiTheme="majorHAnsi" w:hAnsiTheme="majorHAnsi" w:cstheme="majorHAnsi"/>
          <w:sz w:val="22"/>
        </w:rPr>
      </w:pPr>
      <w:r w:rsidRPr="005B0188">
        <w:rPr>
          <w:rFonts w:asciiTheme="majorHAnsi" w:hAnsiTheme="majorHAnsi" w:cstheme="majorHAnsi"/>
          <w:b/>
          <w:bCs/>
          <w:sz w:val="22"/>
        </w:rPr>
        <w:t xml:space="preserve">Identifying Potential VMEs </w:t>
      </w:r>
    </w:p>
    <w:p w14:paraId="18BA691E" w14:textId="5AAD33FB" w:rsidR="00EE364C" w:rsidRDefault="00EE364C" w:rsidP="00670FC2">
      <w:pPr>
        <w:rPr>
          <w:rFonts w:asciiTheme="majorHAnsi" w:hAnsiTheme="majorHAnsi" w:cstheme="majorHAnsi"/>
          <w:sz w:val="22"/>
        </w:rPr>
      </w:pPr>
      <w:r w:rsidRPr="005B0188">
        <w:rPr>
          <w:rFonts w:asciiTheme="majorHAnsi" w:hAnsiTheme="majorHAnsi" w:cstheme="majorHAnsi"/>
          <w:sz w:val="22"/>
        </w:rPr>
        <w:t>We converted the VME indicator taxa density predictions to binary predictions of potential VME presence areas using the 0.</w:t>
      </w:r>
      <w:r w:rsidR="00B40C8C" w:rsidRPr="005B0188">
        <w:rPr>
          <w:rFonts w:asciiTheme="majorHAnsi" w:hAnsiTheme="majorHAnsi" w:cstheme="majorHAnsi"/>
          <w:sz w:val="22"/>
        </w:rPr>
        <w:t>58</w:t>
      </w:r>
      <w:r w:rsidRPr="005B0188">
        <w:rPr>
          <w:rFonts w:asciiTheme="majorHAnsi" w:hAnsiTheme="majorHAnsi" w:cstheme="majorHAnsi"/>
          <w:sz w:val="22"/>
        </w:rPr>
        <w:t xml:space="preserve"> VME indicator taxa colonies m</w:t>
      </w:r>
      <w:r w:rsidRPr="005B0188">
        <w:rPr>
          <w:rFonts w:asciiTheme="majorHAnsi" w:hAnsiTheme="majorHAnsi" w:cstheme="majorHAnsi"/>
          <w:sz w:val="22"/>
          <w:vertAlign w:val="superscript"/>
        </w:rPr>
        <w:t>-2</w:t>
      </w:r>
      <w:r w:rsidRPr="005B0188">
        <w:rPr>
          <w:rFonts w:asciiTheme="majorHAnsi" w:hAnsiTheme="majorHAnsi" w:cstheme="majorHAnsi"/>
          <w:sz w:val="22"/>
        </w:rPr>
        <w:t xml:space="preserve"> threshold described in our </w:t>
      </w:r>
      <w:r w:rsidR="00B40C8C" w:rsidRPr="005B0188">
        <w:rPr>
          <w:rFonts w:asciiTheme="majorHAnsi" w:hAnsiTheme="majorHAnsi" w:cstheme="majorHAnsi"/>
          <w:sz w:val="22"/>
        </w:rPr>
        <w:t xml:space="preserve">updated </w:t>
      </w:r>
      <w:r w:rsidRPr="005B0188">
        <w:rPr>
          <w:rFonts w:asciiTheme="majorHAnsi" w:hAnsiTheme="majorHAnsi" w:cstheme="majorHAnsi"/>
          <w:sz w:val="22"/>
        </w:rPr>
        <w:t xml:space="preserve">methods for identifying </w:t>
      </w:r>
      <w:r w:rsidRPr="00A32D41">
        <w:rPr>
          <w:rFonts w:asciiTheme="majorHAnsi" w:hAnsiTheme="majorHAnsi" w:cstheme="majorHAnsi"/>
          <w:sz w:val="22"/>
        </w:rPr>
        <w:t>VMEs (Warawa et al. 202</w:t>
      </w:r>
      <w:r w:rsidR="00B40C8C" w:rsidRPr="00A32D41">
        <w:rPr>
          <w:rFonts w:asciiTheme="majorHAnsi" w:hAnsiTheme="majorHAnsi" w:cstheme="majorHAnsi"/>
          <w:sz w:val="22"/>
        </w:rPr>
        <w:t>5</w:t>
      </w:r>
      <w:r w:rsidR="006E3E65" w:rsidRPr="00A32D41">
        <w:rPr>
          <w:rFonts w:asciiTheme="majorHAnsi" w:hAnsiTheme="majorHAnsi" w:cstheme="majorHAnsi"/>
          <w:sz w:val="22"/>
        </w:rPr>
        <w:t xml:space="preserve">, see </w:t>
      </w:r>
      <w:r w:rsidRPr="00A32D41">
        <w:rPr>
          <w:rFonts w:asciiTheme="majorHAnsi" w:hAnsiTheme="majorHAnsi" w:cstheme="majorHAnsi"/>
          <w:sz w:val="22"/>
        </w:rPr>
        <w:t>Figure 3</w:t>
      </w:r>
      <w:r w:rsidR="00A32D41">
        <w:rPr>
          <w:rFonts w:asciiTheme="majorHAnsi" w:hAnsiTheme="majorHAnsi" w:cstheme="majorHAnsi"/>
          <w:sz w:val="22"/>
        </w:rPr>
        <w:t xml:space="preserve"> </w:t>
      </w:r>
      <w:proofErr w:type="gramStart"/>
      <w:r w:rsidR="00A32D41">
        <w:rPr>
          <w:rFonts w:asciiTheme="majorHAnsi" w:hAnsiTheme="majorHAnsi" w:cstheme="majorHAnsi"/>
          <w:sz w:val="22"/>
        </w:rPr>
        <w:t>in</w:t>
      </w:r>
      <w:proofErr w:type="gramEnd"/>
      <w:r w:rsidR="00A32D41">
        <w:rPr>
          <w:rFonts w:asciiTheme="majorHAnsi" w:hAnsiTheme="majorHAnsi" w:cstheme="majorHAnsi"/>
          <w:sz w:val="22"/>
        </w:rPr>
        <w:t xml:space="preserve"> the paper</w:t>
      </w:r>
      <w:r w:rsidRPr="00A32D41">
        <w:rPr>
          <w:rFonts w:asciiTheme="majorHAnsi" w:hAnsiTheme="majorHAnsi" w:cstheme="majorHAnsi"/>
          <w:sz w:val="22"/>
        </w:rPr>
        <w:t>).</w:t>
      </w:r>
    </w:p>
    <w:p w14:paraId="20D6308F" w14:textId="77777777" w:rsidR="00B40C8C" w:rsidRDefault="00B40C8C" w:rsidP="00670FC2">
      <w:pPr>
        <w:rPr>
          <w:rFonts w:asciiTheme="majorHAnsi" w:hAnsiTheme="majorHAnsi" w:cstheme="majorHAnsi"/>
          <w:sz w:val="22"/>
        </w:rPr>
      </w:pPr>
    </w:p>
    <w:p w14:paraId="42580502" w14:textId="77777777" w:rsidR="00B40C8C" w:rsidRDefault="00B40C8C" w:rsidP="00670FC2">
      <w:pPr>
        <w:rPr>
          <w:rFonts w:asciiTheme="majorHAnsi" w:hAnsiTheme="majorHAnsi" w:cstheme="majorHAnsi"/>
          <w:sz w:val="22"/>
        </w:rPr>
      </w:pPr>
    </w:p>
    <w:p w14:paraId="46188C2E" w14:textId="77777777" w:rsidR="002C4D24" w:rsidRPr="00B71CAE" w:rsidRDefault="002C4D24" w:rsidP="002C4D24">
      <w:pPr>
        <w:pStyle w:val="NormalWeb"/>
        <w:jc w:val="center"/>
      </w:pPr>
      <w:r>
        <w:rPr>
          <w:noProof/>
        </w:rPr>
        <w:lastRenderedPageBreak/>
        <w:drawing>
          <wp:inline distT="0" distB="0" distL="0" distR="0" wp14:anchorId="7DA7F36F" wp14:editId="2F32D5D2">
            <wp:extent cx="6175169" cy="6867800"/>
            <wp:effectExtent l="0" t="0" r="0" b="0"/>
            <wp:docPr id="17969682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t="2004" b="5838"/>
                    <a:stretch/>
                  </pic:blipFill>
                  <pic:spPr bwMode="auto">
                    <a:xfrm>
                      <a:off x="0" y="0"/>
                      <a:ext cx="6183747" cy="6877340"/>
                    </a:xfrm>
                    <a:prstGeom prst="rect">
                      <a:avLst/>
                    </a:prstGeom>
                    <a:noFill/>
                    <a:ln>
                      <a:noFill/>
                    </a:ln>
                    <a:extLst>
                      <a:ext uri="{53640926-AAD7-44D8-BBD7-CCE9431645EC}">
                        <a14:shadowObscured xmlns:a14="http://schemas.microsoft.com/office/drawing/2010/main"/>
                      </a:ext>
                    </a:extLst>
                  </pic:spPr>
                </pic:pic>
              </a:graphicData>
            </a:graphic>
          </wp:inline>
        </w:drawing>
      </w:r>
    </w:p>
    <w:p w14:paraId="36C6A4AB" w14:textId="77777777" w:rsidR="002C4D24" w:rsidRDefault="002C4D24" w:rsidP="002C4D24">
      <w:pPr>
        <w:rPr>
          <w:rFonts w:asciiTheme="majorHAnsi" w:hAnsiTheme="majorHAnsi" w:cstheme="majorHAnsi"/>
          <w:sz w:val="22"/>
        </w:rPr>
      </w:pPr>
      <w:r w:rsidRPr="00B71CAE">
        <w:rPr>
          <w:rFonts w:asciiTheme="majorHAnsi" w:hAnsiTheme="majorHAnsi" w:cstheme="majorHAnsi"/>
          <w:i/>
          <w:iCs/>
          <w:sz w:val="22"/>
        </w:rPr>
        <w:t xml:space="preserve">Figure 3. </w:t>
      </w:r>
      <w:r w:rsidRPr="00046119">
        <w:rPr>
          <w:rFonts w:asciiTheme="majorHAnsi" w:hAnsiTheme="majorHAnsi" w:cstheme="majorHAnsi"/>
          <w:i/>
          <w:iCs/>
          <w:sz w:val="22"/>
        </w:rPr>
        <w:t xml:space="preserve">GAM-based VME presence prediction map for the Cobb-Eickelberg seamount chain Northern Seamounts (a) and Southern Seamounts. </w:t>
      </w:r>
      <w:r w:rsidRPr="00B71CAE">
        <w:rPr>
          <w:rFonts w:asciiTheme="majorHAnsi" w:hAnsiTheme="majorHAnsi" w:cstheme="majorHAnsi"/>
          <w:i/>
          <w:iCs/>
          <w:sz w:val="22"/>
        </w:rPr>
        <w:t>Potential VME presence (red) is determined by applying the VME density threshold</w:t>
      </w:r>
      <w:r>
        <w:rPr>
          <w:rFonts w:asciiTheme="majorHAnsi" w:hAnsiTheme="majorHAnsi" w:cstheme="majorHAnsi"/>
          <w:i/>
          <w:iCs/>
          <w:sz w:val="22"/>
        </w:rPr>
        <w:t xml:space="preserve"> </w:t>
      </w:r>
      <w:r w:rsidRPr="00046119">
        <w:rPr>
          <w:rFonts w:asciiTheme="majorHAnsi" w:hAnsiTheme="majorHAnsi" w:cstheme="majorHAnsi"/>
          <w:i/>
          <w:iCs/>
          <w:sz w:val="22"/>
        </w:rPr>
        <w:t>(0.58) (</w:t>
      </w:r>
      <w:r w:rsidRPr="00B71CAE">
        <w:rPr>
          <w:rFonts w:asciiTheme="majorHAnsi" w:hAnsiTheme="majorHAnsi" w:cstheme="majorHAnsi"/>
          <w:i/>
          <w:iCs/>
          <w:sz w:val="22"/>
        </w:rPr>
        <w:t>see Warawa et al. 2025</w:t>
      </w:r>
      <w:r w:rsidRPr="00046119">
        <w:rPr>
          <w:rFonts w:asciiTheme="majorHAnsi" w:hAnsiTheme="majorHAnsi" w:cstheme="majorHAnsi"/>
          <w:i/>
          <w:iCs/>
          <w:sz w:val="22"/>
        </w:rPr>
        <w:t xml:space="preserve">) </w:t>
      </w:r>
      <w:r w:rsidRPr="00B71CAE">
        <w:rPr>
          <w:rFonts w:asciiTheme="majorHAnsi" w:hAnsiTheme="majorHAnsi" w:cstheme="majorHAnsi"/>
          <w:i/>
          <w:iCs/>
          <w:sz w:val="22"/>
        </w:rPr>
        <w:t>to the VME density prediction model output. Grey shaded area represents depths outside of the prediction area, which was limited to 400-1200 m in depth.</w:t>
      </w:r>
    </w:p>
    <w:p w14:paraId="6275570D" w14:textId="77777777" w:rsidR="00882FDB" w:rsidRDefault="00882FDB" w:rsidP="00670FC2">
      <w:pPr>
        <w:rPr>
          <w:rFonts w:asciiTheme="majorHAnsi" w:hAnsiTheme="majorHAnsi" w:cstheme="majorHAnsi"/>
          <w:sz w:val="22"/>
        </w:rPr>
      </w:pPr>
    </w:p>
    <w:p w14:paraId="78796388" w14:textId="77777777" w:rsidR="00670FC2" w:rsidRPr="006E3E65" w:rsidRDefault="00670FC2" w:rsidP="00670FC2">
      <w:pPr>
        <w:rPr>
          <w:rFonts w:asciiTheme="majorHAnsi" w:hAnsiTheme="majorHAnsi" w:cstheme="majorHAnsi"/>
          <w:b/>
          <w:bCs/>
          <w:sz w:val="22"/>
        </w:rPr>
      </w:pPr>
      <w:r w:rsidRPr="006E3E65">
        <w:rPr>
          <w:rFonts w:asciiTheme="majorHAnsi" w:hAnsiTheme="majorHAnsi" w:cstheme="majorHAnsi"/>
          <w:b/>
          <w:bCs/>
          <w:sz w:val="22"/>
        </w:rPr>
        <w:lastRenderedPageBreak/>
        <w:t xml:space="preserve">DISCUSSION </w:t>
      </w:r>
    </w:p>
    <w:p w14:paraId="63EC4C9E" w14:textId="3EC17D81" w:rsidR="00670FC2" w:rsidRPr="005B0188" w:rsidRDefault="00670FC2" w:rsidP="00670FC2">
      <w:pPr>
        <w:rPr>
          <w:rFonts w:asciiTheme="majorHAnsi" w:hAnsiTheme="majorHAnsi" w:cstheme="majorHAnsi"/>
          <w:sz w:val="22"/>
        </w:rPr>
      </w:pPr>
      <w:r w:rsidRPr="005B0188">
        <w:rPr>
          <w:rFonts w:asciiTheme="majorHAnsi" w:hAnsiTheme="majorHAnsi" w:cstheme="majorHAnsi"/>
          <w:sz w:val="22"/>
        </w:rPr>
        <w:t xml:space="preserve">Based on our predictive models of VME indicator taxa density, we hypothesize that there are high VME indicator taxa densities on all seamounts in the Cobb-Eickelberg seamount chain. Potential VMEs were predicted on all seamounts in the study area based on application of our </w:t>
      </w:r>
      <w:r w:rsidR="00561577" w:rsidRPr="005B0188">
        <w:rPr>
          <w:rFonts w:asciiTheme="majorHAnsi" w:hAnsiTheme="majorHAnsi" w:cstheme="majorHAnsi"/>
          <w:sz w:val="22"/>
        </w:rPr>
        <w:t xml:space="preserve">updated </w:t>
      </w:r>
      <w:r w:rsidRPr="005B0188">
        <w:rPr>
          <w:rFonts w:asciiTheme="majorHAnsi" w:hAnsiTheme="majorHAnsi" w:cstheme="majorHAnsi"/>
          <w:sz w:val="22"/>
        </w:rPr>
        <w:t>VME indicator taxa density threshold of 0.</w:t>
      </w:r>
      <w:r w:rsidR="00561577" w:rsidRPr="005B0188">
        <w:rPr>
          <w:rFonts w:asciiTheme="majorHAnsi" w:hAnsiTheme="majorHAnsi" w:cstheme="majorHAnsi"/>
          <w:sz w:val="22"/>
        </w:rPr>
        <w:t>58</w:t>
      </w:r>
      <w:r w:rsidRPr="005B0188">
        <w:rPr>
          <w:rFonts w:asciiTheme="majorHAnsi" w:hAnsiTheme="majorHAnsi" w:cstheme="majorHAnsi"/>
          <w:sz w:val="22"/>
        </w:rPr>
        <w:t xml:space="preserve"> VME indicator colonies m</w:t>
      </w:r>
      <w:r w:rsidRPr="005B0188">
        <w:rPr>
          <w:rFonts w:asciiTheme="majorHAnsi" w:hAnsiTheme="majorHAnsi" w:cstheme="majorHAnsi"/>
          <w:sz w:val="22"/>
          <w:vertAlign w:val="superscript"/>
        </w:rPr>
        <w:t>-2</w:t>
      </w:r>
      <w:r w:rsidRPr="005B0188">
        <w:rPr>
          <w:rFonts w:asciiTheme="majorHAnsi" w:hAnsiTheme="majorHAnsi" w:cstheme="majorHAnsi"/>
          <w:sz w:val="22"/>
        </w:rPr>
        <w:t xml:space="preserve"> to our model predictions</w:t>
      </w:r>
      <w:r w:rsidRPr="00670FC2">
        <w:rPr>
          <w:rFonts w:asciiTheme="majorHAnsi" w:hAnsiTheme="majorHAnsi" w:cstheme="majorHAnsi"/>
          <w:sz w:val="22"/>
        </w:rPr>
        <w:t xml:space="preserve"> (</w:t>
      </w:r>
      <w:r w:rsidRPr="00A32D41">
        <w:rPr>
          <w:rFonts w:asciiTheme="majorHAnsi" w:hAnsiTheme="majorHAnsi" w:cstheme="majorHAnsi"/>
          <w:sz w:val="22"/>
        </w:rPr>
        <w:t>Figure 3). According to the flow chart for identifying data to identify VMEs (</w:t>
      </w:r>
      <w:r w:rsidRPr="009F190E">
        <w:rPr>
          <w:rFonts w:asciiTheme="majorHAnsi" w:hAnsiTheme="majorHAnsi" w:cstheme="majorHAnsi"/>
          <w:sz w:val="22"/>
        </w:rPr>
        <w:t>NPFC 202</w:t>
      </w:r>
      <w:r w:rsidR="00B31000" w:rsidRPr="009F190E">
        <w:rPr>
          <w:rFonts w:asciiTheme="majorHAnsi" w:hAnsiTheme="majorHAnsi" w:cstheme="majorHAnsi"/>
          <w:sz w:val="22"/>
        </w:rPr>
        <w:t>5a; NPFC 2025b</w:t>
      </w:r>
      <w:r w:rsidRPr="009F190E">
        <w:rPr>
          <w:rFonts w:asciiTheme="majorHAnsi" w:hAnsiTheme="majorHAnsi" w:cstheme="majorHAnsi"/>
          <w:sz w:val="22"/>
        </w:rPr>
        <w:t>),</w:t>
      </w:r>
      <w:r w:rsidRPr="005B0188">
        <w:rPr>
          <w:rFonts w:asciiTheme="majorHAnsi" w:hAnsiTheme="majorHAnsi" w:cstheme="majorHAnsi"/>
          <w:sz w:val="22"/>
        </w:rPr>
        <w:t xml:space="preserve"> areas identified as potential VMEs are high priority areas to undertake visual surveys to ground</w:t>
      </w:r>
      <w:r w:rsidR="00561577" w:rsidRPr="005B0188">
        <w:rPr>
          <w:rFonts w:asciiTheme="majorHAnsi" w:hAnsiTheme="majorHAnsi" w:cstheme="majorHAnsi"/>
          <w:sz w:val="22"/>
        </w:rPr>
        <w:t>-</w:t>
      </w:r>
      <w:r w:rsidRPr="005B0188">
        <w:rPr>
          <w:rFonts w:asciiTheme="majorHAnsi" w:hAnsiTheme="majorHAnsi" w:cstheme="majorHAnsi"/>
          <w:sz w:val="22"/>
        </w:rPr>
        <w:t xml:space="preserve">truth predictions and confirm </w:t>
      </w:r>
      <w:proofErr w:type="gramStart"/>
      <w:r w:rsidRPr="005B0188">
        <w:rPr>
          <w:rFonts w:asciiTheme="majorHAnsi" w:hAnsiTheme="majorHAnsi" w:cstheme="majorHAnsi"/>
          <w:sz w:val="22"/>
        </w:rPr>
        <w:t>whether or not</w:t>
      </w:r>
      <w:proofErr w:type="gramEnd"/>
      <w:r w:rsidRPr="005B0188">
        <w:rPr>
          <w:rFonts w:asciiTheme="majorHAnsi" w:hAnsiTheme="majorHAnsi" w:cstheme="majorHAnsi"/>
          <w:sz w:val="22"/>
        </w:rPr>
        <w:t xml:space="preserve"> potential VMEs are indeed VMEs. </w:t>
      </w:r>
    </w:p>
    <w:p w14:paraId="456C47B0" w14:textId="77777777" w:rsidR="00561577" w:rsidRPr="005B0188" w:rsidRDefault="00561577" w:rsidP="00670FC2">
      <w:pPr>
        <w:rPr>
          <w:rFonts w:asciiTheme="majorHAnsi" w:hAnsiTheme="majorHAnsi" w:cstheme="majorHAnsi"/>
          <w:sz w:val="22"/>
        </w:rPr>
      </w:pPr>
    </w:p>
    <w:p w14:paraId="7B443F1C" w14:textId="7A547170" w:rsidR="00670FC2" w:rsidRPr="00B31000" w:rsidRDefault="00670FC2" w:rsidP="00561577">
      <w:pPr>
        <w:pStyle w:val="Heading5"/>
        <w:rPr>
          <w:b/>
          <w:bCs/>
          <w:color w:val="auto"/>
        </w:rPr>
      </w:pPr>
      <w:r w:rsidRPr="00B31000">
        <w:rPr>
          <w:b/>
          <w:bCs/>
          <w:color w:val="auto"/>
        </w:rPr>
        <w:t>Next steps</w:t>
      </w:r>
    </w:p>
    <w:p w14:paraId="262D203F" w14:textId="1BDF053D" w:rsidR="00670FC2" w:rsidRPr="005B0188" w:rsidRDefault="00B31000" w:rsidP="00B33E37">
      <w:pPr>
        <w:numPr>
          <w:ilvl w:val="0"/>
          <w:numId w:val="18"/>
        </w:numPr>
        <w:rPr>
          <w:rFonts w:asciiTheme="majorHAnsi" w:hAnsiTheme="majorHAnsi" w:cstheme="majorHAnsi"/>
          <w:sz w:val="22"/>
        </w:rPr>
      </w:pPr>
      <w:r>
        <w:rPr>
          <w:rFonts w:asciiTheme="majorHAnsi" w:hAnsiTheme="majorHAnsi" w:cstheme="majorHAnsi"/>
          <w:sz w:val="22"/>
        </w:rPr>
        <w:t>We i</w:t>
      </w:r>
      <w:r w:rsidR="00670FC2" w:rsidRPr="005B0188">
        <w:rPr>
          <w:rFonts w:asciiTheme="majorHAnsi" w:hAnsiTheme="majorHAnsi" w:cstheme="majorHAnsi"/>
          <w:sz w:val="22"/>
        </w:rPr>
        <w:t xml:space="preserve">nvite feedback on </w:t>
      </w:r>
      <w:r>
        <w:rPr>
          <w:rFonts w:asciiTheme="majorHAnsi" w:hAnsiTheme="majorHAnsi" w:cstheme="majorHAnsi"/>
          <w:sz w:val="22"/>
        </w:rPr>
        <w:t xml:space="preserve">our </w:t>
      </w:r>
      <w:r w:rsidR="00670FC2" w:rsidRPr="005B0188">
        <w:rPr>
          <w:rFonts w:asciiTheme="majorHAnsi" w:hAnsiTheme="majorHAnsi" w:cstheme="majorHAnsi"/>
          <w:sz w:val="22"/>
        </w:rPr>
        <w:t xml:space="preserve">proposed methodology to identify areas where vulnerable marine ecosystems (VMEs) are likely to occur (i.e., </w:t>
      </w:r>
      <w:r w:rsidR="00670FC2" w:rsidRPr="005B0188">
        <w:rPr>
          <w:rFonts w:asciiTheme="majorHAnsi" w:hAnsiTheme="majorHAnsi" w:cstheme="majorHAnsi"/>
          <w:i/>
          <w:iCs/>
          <w:sz w:val="22"/>
        </w:rPr>
        <w:t>potential VMEs</w:t>
      </w:r>
      <w:r w:rsidR="00670FC2" w:rsidRPr="005B0188">
        <w:rPr>
          <w:rFonts w:asciiTheme="majorHAnsi" w:hAnsiTheme="majorHAnsi" w:cstheme="majorHAnsi"/>
          <w:sz w:val="22"/>
        </w:rPr>
        <w:t xml:space="preserve">). </w:t>
      </w:r>
      <w:r>
        <w:rPr>
          <w:rFonts w:asciiTheme="majorHAnsi" w:hAnsiTheme="majorHAnsi" w:cstheme="majorHAnsi"/>
          <w:sz w:val="22"/>
        </w:rPr>
        <w:t>We will then r</w:t>
      </w:r>
      <w:r w:rsidR="00670FC2" w:rsidRPr="005B0188">
        <w:rPr>
          <w:rFonts w:asciiTheme="majorHAnsi" w:hAnsiTheme="majorHAnsi" w:cstheme="majorHAnsi"/>
          <w:sz w:val="22"/>
        </w:rPr>
        <w:t xml:space="preserve">evise </w:t>
      </w:r>
      <w:r>
        <w:rPr>
          <w:rFonts w:asciiTheme="majorHAnsi" w:hAnsiTheme="majorHAnsi" w:cstheme="majorHAnsi"/>
          <w:sz w:val="22"/>
        </w:rPr>
        <w:t xml:space="preserve">our </w:t>
      </w:r>
      <w:r w:rsidR="00670FC2" w:rsidRPr="005B0188">
        <w:rPr>
          <w:rFonts w:asciiTheme="majorHAnsi" w:hAnsiTheme="majorHAnsi" w:cstheme="majorHAnsi"/>
          <w:sz w:val="22"/>
        </w:rPr>
        <w:t>method</w:t>
      </w:r>
      <w:r>
        <w:rPr>
          <w:rFonts w:asciiTheme="majorHAnsi" w:hAnsiTheme="majorHAnsi" w:cstheme="majorHAnsi"/>
          <w:sz w:val="22"/>
        </w:rPr>
        <w:t xml:space="preserve"> as needed</w:t>
      </w:r>
      <w:r w:rsidR="00670FC2" w:rsidRPr="005B0188">
        <w:rPr>
          <w:rFonts w:asciiTheme="majorHAnsi" w:hAnsiTheme="majorHAnsi" w:cstheme="majorHAnsi"/>
          <w:sz w:val="22"/>
        </w:rPr>
        <w:t xml:space="preserve">, apply it along the Cobb-Eickelberg seamount chain, and provide advice to the NPFC on the locations of these potential VMEs. </w:t>
      </w:r>
    </w:p>
    <w:p w14:paraId="2C3ADEF7" w14:textId="77777777" w:rsidR="00670FC2" w:rsidRPr="00670FC2" w:rsidRDefault="00670FC2" w:rsidP="00670FC2">
      <w:pPr>
        <w:rPr>
          <w:rFonts w:asciiTheme="majorHAnsi" w:hAnsiTheme="majorHAnsi" w:cstheme="majorHAnsi"/>
          <w:sz w:val="22"/>
        </w:rPr>
      </w:pPr>
    </w:p>
    <w:p w14:paraId="6988678B" w14:textId="77777777" w:rsidR="00670FC2" w:rsidRPr="00A32D41" w:rsidRDefault="00670FC2" w:rsidP="00670FC2">
      <w:pPr>
        <w:rPr>
          <w:rFonts w:asciiTheme="majorHAnsi" w:hAnsiTheme="majorHAnsi" w:cstheme="majorHAnsi"/>
          <w:b/>
          <w:bCs/>
          <w:sz w:val="22"/>
        </w:rPr>
      </w:pPr>
      <w:r w:rsidRPr="00A32D41">
        <w:rPr>
          <w:rFonts w:asciiTheme="majorHAnsi" w:hAnsiTheme="majorHAnsi" w:cstheme="majorHAnsi"/>
          <w:b/>
          <w:bCs/>
          <w:sz w:val="22"/>
        </w:rPr>
        <w:t xml:space="preserve">REFERENCES </w:t>
      </w:r>
    </w:p>
    <w:p w14:paraId="30F93A14" w14:textId="77777777" w:rsidR="00670FC2" w:rsidRPr="004F410F" w:rsidRDefault="00670FC2" w:rsidP="0053211B">
      <w:pPr>
        <w:ind w:left="720" w:hanging="720"/>
        <w:rPr>
          <w:rFonts w:asciiTheme="majorHAnsi" w:hAnsiTheme="majorHAnsi" w:cstheme="majorHAnsi"/>
          <w:sz w:val="22"/>
        </w:rPr>
      </w:pPr>
      <w:r w:rsidRPr="004F410F">
        <w:rPr>
          <w:rFonts w:asciiTheme="majorHAnsi" w:hAnsiTheme="majorHAnsi" w:cstheme="majorHAnsi"/>
          <w:sz w:val="22"/>
        </w:rPr>
        <w:t xml:space="preserve">Chu JWF, Nephin J, Georgian S, Knudby A, Rooper C, and Gale KSP. (2019). Modelling the environmental niche space and distributions of cold-water corals and sponges in the Canadian northeast Pacific Ocean. Deep-Sea Research Part I, 151:103063. </w:t>
      </w:r>
    </w:p>
    <w:p w14:paraId="79EA611D" w14:textId="77777777" w:rsidR="00670FC2" w:rsidRPr="00670FC2" w:rsidRDefault="00670FC2" w:rsidP="0053211B">
      <w:pPr>
        <w:ind w:left="720" w:hanging="720"/>
        <w:rPr>
          <w:rFonts w:asciiTheme="majorHAnsi" w:hAnsiTheme="majorHAnsi" w:cstheme="majorHAnsi"/>
          <w:sz w:val="22"/>
          <w:highlight w:val="yellow"/>
        </w:rPr>
      </w:pPr>
    </w:p>
    <w:p w14:paraId="6435F166" w14:textId="77777777" w:rsidR="00670FC2" w:rsidRPr="004F410F" w:rsidRDefault="00670FC2" w:rsidP="0053211B">
      <w:pPr>
        <w:ind w:left="720" w:hanging="720"/>
        <w:rPr>
          <w:rFonts w:asciiTheme="majorHAnsi" w:hAnsiTheme="majorHAnsi" w:cstheme="majorHAnsi"/>
          <w:sz w:val="22"/>
        </w:rPr>
      </w:pPr>
      <w:r w:rsidRPr="004F410F">
        <w:rPr>
          <w:rFonts w:asciiTheme="majorHAnsi" w:hAnsiTheme="majorHAnsi" w:cstheme="majorHAnsi"/>
          <w:sz w:val="22"/>
        </w:rPr>
        <w:t xml:space="preserve">Curtis JMR, Du Preez C, Davies SC, Pegg J, Clarke ME, Fruh EL, Morgan K, Gauthier S, Gatien G, and Carolsfeld W. (2015). 2012 Expedition to Cobb Seamount: Survey methods, data collections, and species observations. Canadian Technical Report of Fisheries and Aquatic Sciences, 3124: xii + 145 p. </w:t>
      </w:r>
    </w:p>
    <w:p w14:paraId="24ECE833" w14:textId="77777777" w:rsidR="00670FC2" w:rsidRPr="004F410F" w:rsidRDefault="00670FC2" w:rsidP="0053211B">
      <w:pPr>
        <w:ind w:left="720" w:hanging="720"/>
        <w:rPr>
          <w:rFonts w:asciiTheme="majorHAnsi" w:hAnsiTheme="majorHAnsi" w:cstheme="majorHAnsi"/>
          <w:sz w:val="22"/>
        </w:rPr>
      </w:pPr>
    </w:p>
    <w:p w14:paraId="047AB19F" w14:textId="49546089" w:rsidR="00670FC2" w:rsidRPr="004F410F" w:rsidRDefault="00670FC2" w:rsidP="0053211B">
      <w:pPr>
        <w:ind w:left="720" w:hanging="720"/>
        <w:rPr>
          <w:rFonts w:asciiTheme="majorHAnsi" w:hAnsiTheme="majorHAnsi" w:cstheme="majorHAnsi"/>
          <w:sz w:val="22"/>
        </w:rPr>
      </w:pPr>
      <w:r w:rsidRPr="004F410F">
        <w:rPr>
          <w:rFonts w:asciiTheme="majorHAnsi" w:hAnsiTheme="majorHAnsi" w:cstheme="majorHAnsi"/>
          <w:sz w:val="22"/>
        </w:rPr>
        <w:t xml:space="preserve">Elith J, Ferrier S, </w:t>
      </w:r>
      <w:proofErr w:type="spellStart"/>
      <w:r w:rsidRPr="004F410F">
        <w:rPr>
          <w:rFonts w:asciiTheme="majorHAnsi" w:hAnsiTheme="majorHAnsi" w:cstheme="majorHAnsi"/>
          <w:sz w:val="22"/>
        </w:rPr>
        <w:t>Huettmann</w:t>
      </w:r>
      <w:proofErr w:type="spellEnd"/>
      <w:r w:rsidRPr="004F410F">
        <w:rPr>
          <w:rFonts w:asciiTheme="majorHAnsi" w:hAnsiTheme="majorHAnsi" w:cstheme="majorHAnsi"/>
          <w:sz w:val="22"/>
        </w:rPr>
        <w:t xml:space="preserve"> F, and </w:t>
      </w:r>
      <w:proofErr w:type="spellStart"/>
      <w:r w:rsidRPr="004F410F">
        <w:rPr>
          <w:rFonts w:asciiTheme="majorHAnsi" w:hAnsiTheme="majorHAnsi" w:cstheme="majorHAnsi"/>
          <w:sz w:val="22"/>
        </w:rPr>
        <w:t>Leathwick</w:t>
      </w:r>
      <w:proofErr w:type="spellEnd"/>
      <w:r w:rsidRPr="004F410F">
        <w:rPr>
          <w:rFonts w:asciiTheme="majorHAnsi" w:hAnsiTheme="majorHAnsi" w:cstheme="majorHAnsi"/>
          <w:sz w:val="22"/>
        </w:rPr>
        <w:t xml:space="preserve"> J (2005). The evaluation strip: A new and robust method for plotting predicted responses from species distribution models. Ecol. Modell. 186(3): 280–289. </w:t>
      </w:r>
      <w:proofErr w:type="gramStart"/>
      <w:r w:rsidRPr="004F410F">
        <w:rPr>
          <w:rFonts w:asciiTheme="majorHAnsi" w:hAnsiTheme="majorHAnsi" w:cstheme="majorHAnsi"/>
          <w:sz w:val="22"/>
        </w:rPr>
        <w:t>doi:10.1016/j.ecolmodel</w:t>
      </w:r>
      <w:proofErr w:type="gramEnd"/>
      <w:r w:rsidRPr="004F410F">
        <w:rPr>
          <w:rFonts w:asciiTheme="majorHAnsi" w:hAnsiTheme="majorHAnsi" w:cstheme="majorHAnsi"/>
          <w:sz w:val="22"/>
        </w:rPr>
        <w:t xml:space="preserve">.2004.12.007 </w:t>
      </w:r>
    </w:p>
    <w:p w14:paraId="77490FD0" w14:textId="77777777" w:rsidR="00670FC2" w:rsidRPr="0053211B" w:rsidRDefault="00670FC2" w:rsidP="0053211B">
      <w:pPr>
        <w:ind w:left="720" w:hanging="720"/>
        <w:rPr>
          <w:rFonts w:asciiTheme="majorHAnsi" w:hAnsiTheme="majorHAnsi" w:cstheme="majorHAnsi"/>
          <w:sz w:val="22"/>
          <w:highlight w:val="yellow"/>
        </w:rPr>
      </w:pPr>
    </w:p>
    <w:p w14:paraId="71FCD2E3" w14:textId="2F94B74F" w:rsidR="00670FC2" w:rsidRPr="005B5E99" w:rsidRDefault="00670FC2" w:rsidP="0053211B">
      <w:pPr>
        <w:ind w:left="720" w:hanging="720"/>
        <w:rPr>
          <w:rFonts w:asciiTheme="majorHAnsi" w:hAnsiTheme="majorHAnsi" w:cstheme="majorHAnsi"/>
          <w:sz w:val="22"/>
        </w:rPr>
      </w:pPr>
      <w:r w:rsidRPr="005B5E99">
        <w:rPr>
          <w:rFonts w:asciiTheme="majorHAnsi" w:hAnsiTheme="majorHAnsi" w:cstheme="majorHAnsi"/>
          <w:sz w:val="22"/>
        </w:rPr>
        <w:t xml:space="preserve">Harris PT, Macmillan-Lawler M, Rupp J, &amp; Baker EK (2014). Geomorphology of the oceans. Marine Geology, 352:4-24. </w:t>
      </w:r>
    </w:p>
    <w:p w14:paraId="4F9D92AE" w14:textId="77777777" w:rsidR="00670FC2" w:rsidRPr="0053211B" w:rsidRDefault="00670FC2" w:rsidP="0053211B">
      <w:pPr>
        <w:ind w:left="720" w:hanging="720"/>
        <w:rPr>
          <w:rFonts w:asciiTheme="majorHAnsi" w:hAnsiTheme="majorHAnsi" w:cstheme="majorHAnsi"/>
          <w:sz w:val="22"/>
          <w:highlight w:val="yellow"/>
        </w:rPr>
      </w:pPr>
    </w:p>
    <w:p w14:paraId="5332B786" w14:textId="54B91AC2" w:rsidR="0053211B" w:rsidRPr="005B5E99" w:rsidRDefault="00670FC2" w:rsidP="0053211B">
      <w:pPr>
        <w:ind w:left="720" w:hanging="720"/>
        <w:rPr>
          <w:rFonts w:asciiTheme="majorHAnsi" w:hAnsiTheme="majorHAnsi" w:cstheme="majorHAnsi"/>
          <w:sz w:val="22"/>
        </w:rPr>
      </w:pPr>
      <w:proofErr w:type="spellStart"/>
      <w:r w:rsidRPr="005B5E99">
        <w:rPr>
          <w:rFonts w:asciiTheme="majorHAnsi" w:hAnsiTheme="majorHAnsi" w:cstheme="majorHAnsi"/>
          <w:sz w:val="22"/>
        </w:rPr>
        <w:t>Hijmans</w:t>
      </w:r>
      <w:proofErr w:type="spellEnd"/>
      <w:r w:rsidRPr="005B5E99">
        <w:rPr>
          <w:rFonts w:asciiTheme="majorHAnsi" w:hAnsiTheme="majorHAnsi" w:cstheme="majorHAnsi"/>
          <w:sz w:val="22"/>
        </w:rPr>
        <w:t xml:space="preserve"> R (2022). terra: Spatial Data Analysis. R package version 1.6-7, </w:t>
      </w:r>
      <w:hyperlink r:id="rId11" w:history="1">
        <w:r w:rsidR="0053211B" w:rsidRPr="005B5E99">
          <w:rPr>
            <w:rStyle w:val="Hyperlink"/>
            <w:rFonts w:asciiTheme="majorHAnsi" w:hAnsiTheme="majorHAnsi" w:cstheme="majorHAnsi"/>
            <w:sz w:val="22"/>
          </w:rPr>
          <w:t>https://CRAN.R-project.org/package=terra</w:t>
        </w:r>
      </w:hyperlink>
    </w:p>
    <w:p w14:paraId="055E19D6" w14:textId="77777777" w:rsidR="00670FC2" w:rsidRPr="0053211B" w:rsidRDefault="00670FC2" w:rsidP="0053211B">
      <w:pPr>
        <w:ind w:left="720" w:hanging="720"/>
        <w:rPr>
          <w:rFonts w:asciiTheme="majorHAnsi" w:hAnsiTheme="majorHAnsi" w:cstheme="majorHAnsi"/>
          <w:sz w:val="22"/>
          <w:highlight w:val="yellow"/>
        </w:rPr>
      </w:pPr>
    </w:p>
    <w:p w14:paraId="1AE1C459" w14:textId="28F1DFD6" w:rsidR="0053211B" w:rsidRPr="005B5E99" w:rsidRDefault="00670FC2" w:rsidP="0053211B">
      <w:pPr>
        <w:ind w:left="720" w:hanging="720"/>
        <w:rPr>
          <w:rFonts w:asciiTheme="majorHAnsi" w:hAnsiTheme="majorHAnsi" w:cstheme="majorHAnsi"/>
          <w:sz w:val="22"/>
        </w:rPr>
      </w:pPr>
      <w:r w:rsidRPr="005B5E99">
        <w:rPr>
          <w:rFonts w:asciiTheme="majorHAnsi" w:hAnsiTheme="majorHAnsi" w:cstheme="majorHAnsi"/>
          <w:sz w:val="22"/>
        </w:rPr>
        <w:t xml:space="preserve">Naimi B, Hamm Na, Groen TA, Skidmore AK, </w:t>
      </w:r>
      <w:proofErr w:type="spellStart"/>
      <w:r w:rsidRPr="005B5E99">
        <w:rPr>
          <w:rFonts w:asciiTheme="majorHAnsi" w:hAnsiTheme="majorHAnsi" w:cstheme="majorHAnsi"/>
          <w:sz w:val="22"/>
        </w:rPr>
        <w:t>Toxopeus</w:t>
      </w:r>
      <w:proofErr w:type="spellEnd"/>
      <w:r w:rsidRPr="005B5E99">
        <w:rPr>
          <w:rFonts w:asciiTheme="majorHAnsi" w:hAnsiTheme="majorHAnsi" w:cstheme="majorHAnsi"/>
          <w:sz w:val="22"/>
        </w:rPr>
        <w:t xml:space="preserve"> AG (2014). Where is positional uncertainty a problem for species distribution modelling. </w:t>
      </w:r>
      <w:proofErr w:type="spellStart"/>
      <w:r w:rsidRPr="005B5E99">
        <w:rPr>
          <w:rFonts w:asciiTheme="majorHAnsi" w:hAnsiTheme="majorHAnsi" w:cstheme="majorHAnsi"/>
          <w:sz w:val="22"/>
        </w:rPr>
        <w:t>Ecography</w:t>
      </w:r>
      <w:proofErr w:type="spellEnd"/>
      <w:r w:rsidRPr="005B5E99">
        <w:rPr>
          <w:rFonts w:asciiTheme="majorHAnsi" w:hAnsiTheme="majorHAnsi" w:cstheme="majorHAnsi"/>
          <w:sz w:val="22"/>
        </w:rPr>
        <w:t xml:space="preserve">, 37:191-203 Available at: </w:t>
      </w:r>
      <w:hyperlink r:id="rId12" w:history="1">
        <w:r w:rsidR="0053211B" w:rsidRPr="005B5E99">
          <w:rPr>
            <w:rStyle w:val="Hyperlink"/>
            <w:rFonts w:asciiTheme="majorHAnsi" w:hAnsiTheme="majorHAnsi" w:cstheme="majorHAnsi"/>
            <w:sz w:val="22"/>
          </w:rPr>
          <w:t>https://doi.org/10.1111/j.1600-0587.2013.00205.x</w:t>
        </w:r>
      </w:hyperlink>
    </w:p>
    <w:p w14:paraId="780F8F71" w14:textId="77777777" w:rsidR="00670FC2" w:rsidRPr="0053211B" w:rsidRDefault="00670FC2" w:rsidP="0053211B">
      <w:pPr>
        <w:ind w:left="720" w:hanging="720"/>
        <w:rPr>
          <w:rFonts w:asciiTheme="majorHAnsi" w:hAnsiTheme="majorHAnsi" w:cstheme="majorHAnsi"/>
          <w:sz w:val="22"/>
          <w:highlight w:val="yellow"/>
        </w:rPr>
      </w:pPr>
    </w:p>
    <w:p w14:paraId="55CDC54B" w14:textId="20E82078" w:rsidR="00670FC2" w:rsidRPr="007325CC" w:rsidRDefault="00670FC2" w:rsidP="0053211B">
      <w:pPr>
        <w:ind w:left="720" w:hanging="720"/>
        <w:rPr>
          <w:rFonts w:asciiTheme="majorHAnsi" w:hAnsiTheme="majorHAnsi" w:cstheme="majorHAnsi"/>
          <w:sz w:val="22"/>
        </w:rPr>
      </w:pPr>
      <w:r w:rsidRPr="009F190E">
        <w:rPr>
          <w:rFonts w:asciiTheme="majorHAnsi" w:hAnsiTheme="majorHAnsi" w:cstheme="majorHAnsi"/>
          <w:sz w:val="22"/>
        </w:rPr>
        <w:t>North Pacific Fisheries Commission [NPFC] (202</w:t>
      </w:r>
      <w:r w:rsidR="00B00A7B" w:rsidRPr="009F190E">
        <w:rPr>
          <w:rFonts w:asciiTheme="majorHAnsi" w:hAnsiTheme="majorHAnsi" w:cstheme="majorHAnsi"/>
          <w:sz w:val="22"/>
        </w:rPr>
        <w:t>5</w:t>
      </w:r>
      <w:r w:rsidRPr="009F190E">
        <w:rPr>
          <w:rFonts w:asciiTheme="majorHAnsi" w:hAnsiTheme="majorHAnsi" w:cstheme="majorHAnsi"/>
          <w:sz w:val="22"/>
        </w:rPr>
        <w:t xml:space="preserve">a). Conservation and Management Measure (CMM) 2023-05 for Bottom Fisheries and Protection of Vulnerable Marine Ecosystems in the Northwestern Pacific Ocean. Available at: </w:t>
      </w:r>
      <w:hyperlink r:id="rId13" w:history="1">
        <w:r w:rsidR="007325CC" w:rsidRPr="009F190E">
          <w:rPr>
            <w:rStyle w:val="Hyperlink"/>
            <w:rFonts w:asciiTheme="majorHAnsi" w:hAnsiTheme="majorHAnsi" w:cstheme="majorHAnsi"/>
            <w:sz w:val="22"/>
          </w:rPr>
          <w:t>CMM 2025-05_For Bottom Fisheries and Protection of VMEs in the.pdf</w:t>
        </w:r>
      </w:hyperlink>
    </w:p>
    <w:p w14:paraId="3889CCA3" w14:textId="77777777" w:rsidR="007325CC" w:rsidRPr="0053211B" w:rsidRDefault="007325CC" w:rsidP="0053211B">
      <w:pPr>
        <w:ind w:left="720" w:hanging="720"/>
        <w:rPr>
          <w:rFonts w:asciiTheme="majorHAnsi" w:hAnsiTheme="majorHAnsi" w:cstheme="majorHAnsi"/>
          <w:sz w:val="22"/>
          <w:highlight w:val="yellow"/>
        </w:rPr>
      </w:pPr>
    </w:p>
    <w:p w14:paraId="4C602CF6" w14:textId="1ACE3D02" w:rsidR="00670FC2" w:rsidRPr="009F190E" w:rsidRDefault="00670FC2" w:rsidP="0053211B">
      <w:pPr>
        <w:ind w:left="720" w:hanging="720"/>
        <w:rPr>
          <w:rFonts w:asciiTheme="majorHAnsi" w:hAnsiTheme="majorHAnsi" w:cstheme="majorHAnsi"/>
          <w:sz w:val="22"/>
        </w:rPr>
      </w:pPr>
      <w:r w:rsidRPr="009F190E">
        <w:rPr>
          <w:rFonts w:asciiTheme="majorHAnsi" w:hAnsiTheme="majorHAnsi" w:cstheme="majorHAnsi"/>
          <w:sz w:val="22"/>
        </w:rPr>
        <w:t>North Pacific Fisheries Commission [NPFC] (202</w:t>
      </w:r>
      <w:r w:rsidR="00B00A7B" w:rsidRPr="009F190E">
        <w:rPr>
          <w:rFonts w:asciiTheme="majorHAnsi" w:hAnsiTheme="majorHAnsi" w:cstheme="majorHAnsi"/>
          <w:sz w:val="22"/>
        </w:rPr>
        <w:t>5</w:t>
      </w:r>
      <w:r w:rsidRPr="009F190E">
        <w:rPr>
          <w:rFonts w:asciiTheme="majorHAnsi" w:hAnsiTheme="majorHAnsi" w:cstheme="majorHAnsi"/>
          <w:sz w:val="22"/>
        </w:rPr>
        <w:t xml:space="preserve">b). Conservation and Management Measure (CMM) 2023-06 for Bottom Fisheries and Protection of Vulnerable Marine Ecosystems in the Northeastern Pacific Ocean. Available at: </w:t>
      </w:r>
      <w:hyperlink r:id="rId14" w:history="1">
        <w:r w:rsidR="009F190E" w:rsidRPr="009F190E">
          <w:rPr>
            <w:rStyle w:val="Hyperlink"/>
            <w:rFonts w:asciiTheme="majorHAnsi" w:hAnsiTheme="majorHAnsi" w:cstheme="majorHAnsi"/>
            <w:sz w:val="22"/>
          </w:rPr>
          <w:t>CMM 2025-06_For Bottom Fisheries and Protection of VMEs in the_0.pdf</w:t>
        </w:r>
      </w:hyperlink>
    </w:p>
    <w:p w14:paraId="07C6D184" w14:textId="77777777" w:rsidR="009F190E" w:rsidRDefault="009F190E" w:rsidP="0053211B">
      <w:pPr>
        <w:ind w:left="720" w:hanging="720"/>
        <w:rPr>
          <w:rFonts w:asciiTheme="majorHAnsi" w:hAnsiTheme="majorHAnsi" w:cstheme="majorHAnsi"/>
          <w:sz w:val="22"/>
          <w:highlight w:val="yellow"/>
        </w:rPr>
      </w:pPr>
    </w:p>
    <w:p w14:paraId="0B4F0A7D" w14:textId="77777777" w:rsidR="003F724E" w:rsidRPr="00DA08A2" w:rsidRDefault="003F724E" w:rsidP="003F724E">
      <w:pPr>
        <w:ind w:left="720" w:hanging="720"/>
        <w:rPr>
          <w:rFonts w:asciiTheme="majorHAnsi" w:hAnsiTheme="majorHAnsi" w:cstheme="majorHAnsi"/>
        </w:rPr>
      </w:pPr>
      <w:r w:rsidRPr="00DA08A2">
        <w:rPr>
          <w:rFonts w:asciiTheme="majorHAnsi" w:hAnsiTheme="majorHAnsi" w:cstheme="majorHAnsi"/>
        </w:rPr>
        <w:t>North Pacific Fisheries Commission [NPFC] (202</w:t>
      </w:r>
      <w:r>
        <w:rPr>
          <w:rFonts w:asciiTheme="majorHAnsi" w:hAnsiTheme="majorHAnsi" w:cstheme="majorHAnsi"/>
        </w:rPr>
        <w:t>4</w:t>
      </w:r>
      <w:r w:rsidRPr="00DA08A2">
        <w:rPr>
          <w:rFonts w:asciiTheme="majorHAnsi" w:hAnsiTheme="majorHAnsi" w:cstheme="majorHAnsi"/>
        </w:rPr>
        <w:t xml:space="preserve">). </w:t>
      </w:r>
      <w:r>
        <w:rPr>
          <w:rFonts w:asciiTheme="majorHAnsi" w:hAnsiTheme="majorHAnsi" w:cstheme="majorHAnsi"/>
        </w:rPr>
        <w:t>8</w:t>
      </w:r>
      <w:r w:rsidRPr="00DA08A2">
        <w:rPr>
          <w:rFonts w:asciiTheme="majorHAnsi" w:hAnsiTheme="majorHAnsi" w:cstheme="majorHAnsi"/>
        </w:rPr>
        <w:t xml:space="preserve">th Meeting Report. NPFC-2023-COM07-Final Report. </w:t>
      </w:r>
      <w:r>
        <w:rPr>
          <w:rFonts w:asciiTheme="majorHAnsi" w:hAnsiTheme="majorHAnsi" w:cstheme="majorHAnsi"/>
        </w:rPr>
        <w:t>735</w:t>
      </w:r>
      <w:r w:rsidRPr="00DA08A2">
        <w:rPr>
          <w:rFonts w:asciiTheme="majorHAnsi" w:hAnsiTheme="majorHAnsi" w:cstheme="majorHAnsi"/>
        </w:rPr>
        <w:t xml:space="preserve"> </w:t>
      </w:r>
      <w:proofErr w:type="gramStart"/>
      <w:r w:rsidRPr="00DA08A2">
        <w:rPr>
          <w:rFonts w:asciiTheme="majorHAnsi" w:hAnsiTheme="majorHAnsi" w:cstheme="majorHAnsi"/>
        </w:rPr>
        <w:t>pp</w:t>
      </w:r>
      <w:proofErr w:type="gramEnd"/>
      <w:r w:rsidRPr="00DA08A2">
        <w:rPr>
          <w:rFonts w:asciiTheme="majorHAnsi" w:hAnsiTheme="majorHAnsi" w:cstheme="majorHAnsi"/>
        </w:rPr>
        <w:t xml:space="preserve">. (Available at </w:t>
      </w:r>
      <w:hyperlink r:id="rId15" w:history="1">
        <w:r w:rsidRPr="00857E57">
          <w:rPr>
            <w:rStyle w:val="Hyperlink"/>
            <w:rFonts w:asciiTheme="majorHAnsi" w:hAnsiTheme="majorHAnsi" w:cstheme="majorHAnsi"/>
          </w:rPr>
          <w:t>www.npfc.int</w:t>
        </w:r>
      </w:hyperlink>
      <w:r w:rsidRPr="00DA08A2">
        <w:rPr>
          <w:rFonts w:asciiTheme="majorHAnsi" w:hAnsiTheme="majorHAnsi" w:cstheme="majorHAnsi"/>
        </w:rPr>
        <w:t xml:space="preserve">) </w:t>
      </w:r>
    </w:p>
    <w:p w14:paraId="152A1AB3" w14:textId="77777777" w:rsidR="003F724E" w:rsidRPr="0053211B" w:rsidRDefault="003F724E" w:rsidP="0053211B">
      <w:pPr>
        <w:ind w:left="720" w:hanging="720"/>
        <w:rPr>
          <w:rFonts w:asciiTheme="majorHAnsi" w:hAnsiTheme="majorHAnsi" w:cstheme="majorHAnsi"/>
          <w:sz w:val="22"/>
          <w:highlight w:val="yellow"/>
        </w:rPr>
      </w:pPr>
    </w:p>
    <w:p w14:paraId="7230CF6B" w14:textId="5216B665" w:rsidR="00670FC2" w:rsidRPr="009F190E" w:rsidRDefault="00670FC2" w:rsidP="0053211B">
      <w:pPr>
        <w:ind w:left="720" w:hanging="720"/>
        <w:rPr>
          <w:rFonts w:asciiTheme="majorHAnsi" w:hAnsiTheme="majorHAnsi" w:cstheme="majorHAnsi"/>
          <w:sz w:val="22"/>
        </w:rPr>
      </w:pPr>
      <w:r w:rsidRPr="009F190E">
        <w:rPr>
          <w:rFonts w:asciiTheme="majorHAnsi" w:hAnsiTheme="majorHAnsi" w:cstheme="majorHAnsi"/>
          <w:sz w:val="22"/>
        </w:rPr>
        <w:t xml:space="preserve">Parker T and Tunnicliffe V (1994) Dispersal strategies of the biota on an oceanic seamount: implications for ecology and biogeography. Biological Bulletin, 187:336–345. </w:t>
      </w:r>
    </w:p>
    <w:p w14:paraId="2C018AC2" w14:textId="77777777" w:rsidR="00670FC2" w:rsidRPr="0053211B" w:rsidRDefault="00670FC2" w:rsidP="0053211B">
      <w:pPr>
        <w:ind w:left="720" w:hanging="720"/>
        <w:rPr>
          <w:rFonts w:asciiTheme="majorHAnsi" w:hAnsiTheme="majorHAnsi" w:cstheme="majorHAnsi"/>
          <w:sz w:val="22"/>
          <w:highlight w:val="yellow"/>
        </w:rPr>
      </w:pPr>
    </w:p>
    <w:p w14:paraId="559240CB" w14:textId="202207D8" w:rsidR="00670FC2" w:rsidRPr="00F234D6" w:rsidRDefault="00670FC2" w:rsidP="0053211B">
      <w:pPr>
        <w:ind w:left="720" w:hanging="720"/>
        <w:rPr>
          <w:rFonts w:asciiTheme="majorHAnsi" w:hAnsiTheme="majorHAnsi" w:cstheme="majorHAnsi"/>
          <w:sz w:val="22"/>
        </w:rPr>
      </w:pPr>
      <w:r w:rsidRPr="00F234D6">
        <w:rPr>
          <w:rFonts w:asciiTheme="majorHAnsi" w:hAnsiTheme="majorHAnsi" w:cstheme="majorHAnsi"/>
          <w:sz w:val="22"/>
        </w:rPr>
        <w:t>Rooper CN, Goddard P, Wright C, Conrath C, Rand K, Lowe V. (2023). Joint Canada-USA International Seamount Survey update for 2023. NPFC-2023-SSC BFME04-IP</w:t>
      </w:r>
      <w:r w:rsidR="00F234D6" w:rsidRPr="00F234D6">
        <w:rPr>
          <w:rFonts w:asciiTheme="majorHAnsi" w:hAnsiTheme="majorHAnsi" w:cstheme="majorHAnsi"/>
          <w:sz w:val="22"/>
        </w:rPr>
        <w:t>02</w:t>
      </w:r>
      <w:r w:rsidRPr="00F234D6">
        <w:rPr>
          <w:rFonts w:asciiTheme="majorHAnsi" w:hAnsiTheme="majorHAnsi" w:cstheme="majorHAnsi"/>
          <w:sz w:val="22"/>
        </w:rPr>
        <w:t xml:space="preserve">. </w:t>
      </w:r>
    </w:p>
    <w:p w14:paraId="5905A480" w14:textId="77777777" w:rsidR="00670FC2" w:rsidRPr="0053211B" w:rsidRDefault="00670FC2" w:rsidP="0053211B">
      <w:pPr>
        <w:ind w:left="720" w:hanging="720"/>
        <w:rPr>
          <w:rFonts w:asciiTheme="majorHAnsi" w:hAnsiTheme="majorHAnsi" w:cstheme="majorHAnsi"/>
          <w:sz w:val="22"/>
          <w:highlight w:val="yellow"/>
        </w:rPr>
      </w:pPr>
    </w:p>
    <w:p w14:paraId="54F4D087" w14:textId="30C36476" w:rsidR="00670FC2" w:rsidRDefault="00FE65B8" w:rsidP="00FE65B8">
      <w:pPr>
        <w:ind w:left="720" w:hanging="720"/>
        <w:rPr>
          <w:rFonts w:asciiTheme="majorHAnsi" w:hAnsiTheme="majorHAnsi" w:cstheme="majorHAnsi"/>
          <w:sz w:val="22"/>
        </w:rPr>
      </w:pPr>
      <w:r w:rsidRPr="00FE65B8">
        <w:rPr>
          <w:rFonts w:asciiTheme="majorHAnsi" w:hAnsiTheme="majorHAnsi" w:cstheme="majorHAnsi"/>
          <w:sz w:val="22"/>
        </w:rPr>
        <w:t xml:space="preserve">Warawa DR, Nephin J, </w:t>
      </w:r>
      <w:r w:rsidR="00DF647D">
        <w:rPr>
          <w:rFonts w:asciiTheme="majorHAnsi" w:hAnsiTheme="majorHAnsi" w:cstheme="majorHAnsi"/>
          <w:sz w:val="22"/>
        </w:rPr>
        <w:t xml:space="preserve">Rooper CN, </w:t>
      </w:r>
      <w:r w:rsidRPr="00FE65B8">
        <w:rPr>
          <w:rFonts w:asciiTheme="majorHAnsi" w:hAnsiTheme="majorHAnsi" w:cstheme="majorHAnsi"/>
          <w:sz w:val="22"/>
        </w:rPr>
        <w:t xml:space="preserve">Dudas S, Knudby A, </w:t>
      </w:r>
      <w:r w:rsidR="00DF647D">
        <w:rPr>
          <w:rFonts w:asciiTheme="majorHAnsi" w:hAnsiTheme="majorHAnsi" w:cstheme="majorHAnsi"/>
          <w:sz w:val="22"/>
        </w:rPr>
        <w:t xml:space="preserve">Chu JWF, </w:t>
      </w:r>
      <w:r w:rsidRPr="00FE65B8">
        <w:rPr>
          <w:rFonts w:asciiTheme="majorHAnsi" w:hAnsiTheme="majorHAnsi" w:cstheme="majorHAnsi"/>
          <w:sz w:val="22"/>
        </w:rPr>
        <w:t>Georgian S, Curtis JMR. (2023). Identifying potential VMEs on the Cobb-Eickelberg seamount chain based on predictive modelling.  NPFC-2023-SSC BFME04-WP12</w:t>
      </w:r>
      <w:r w:rsidR="00DA4150">
        <w:rPr>
          <w:rFonts w:asciiTheme="majorHAnsi" w:hAnsiTheme="majorHAnsi" w:cstheme="majorHAnsi"/>
          <w:sz w:val="22"/>
        </w:rPr>
        <w:t>.</w:t>
      </w:r>
      <w:r w:rsidR="00670FC2" w:rsidRPr="00FE65B8">
        <w:rPr>
          <w:rFonts w:asciiTheme="majorHAnsi" w:hAnsiTheme="majorHAnsi" w:cstheme="majorHAnsi"/>
          <w:sz w:val="22"/>
        </w:rPr>
        <w:t xml:space="preserve"> </w:t>
      </w:r>
    </w:p>
    <w:p w14:paraId="155704DB" w14:textId="77777777" w:rsidR="00DF647D" w:rsidRDefault="00DF647D" w:rsidP="00FE65B8">
      <w:pPr>
        <w:ind w:left="720" w:hanging="720"/>
        <w:rPr>
          <w:rFonts w:asciiTheme="majorHAnsi" w:hAnsiTheme="majorHAnsi" w:cstheme="majorHAnsi"/>
          <w:sz w:val="22"/>
        </w:rPr>
      </w:pPr>
    </w:p>
    <w:p w14:paraId="3947AA82" w14:textId="0B72ACFF" w:rsidR="0008639A" w:rsidRPr="0008639A" w:rsidRDefault="0008639A" w:rsidP="0008639A">
      <w:pPr>
        <w:ind w:left="720" w:hanging="720"/>
        <w:rPr>
          <w:rFonts w:asciiTheme="majorHAnsi" w:hAnsiTheme="majorHAnsi" w:cstheme="majorHAnsi"/>
          <w:sz w:val="22"/>
        </w:rPr>
      </w:pPr>
      <w:r>
        <w:rPr>
          <w:rFonts w:asciiTheme="majorHAnsi" w:hAnsiTheme="majorHAnsi" w:cstheme="majorHAnsi"/>
          <w:sz w:val="22"/>
        </w:rPr>
        <w:t xml:space="preserve">Warawa DR, Rooper CN, Curtis JMR. (2025). </w:t>
      </w:r>
      <w:r w:rsidRPr="0008639A">
        <w:rPr>
          <w:rFonts w:asciiTheme="majorHAnsi" w:hAnsiTheme="majorHAnsi" w:cstheme="majorHAnsi"/>
          <w:sz w:val="22"/>
        </w:rPr>
        <w:t>Updated identification of VMEs on Cobb Seamount in the Northeast Pacific Ocean by including pennatulaceans as VME indicator taxa</w:t>
      </w:r>
      <w:r>
        <w:rPr>
          <w:rFonts w:asciiTheme="majorHAnsi" w:hAnsiTheme="majorHAnsi" w:cstheme="majorHAnsi"/>
          <w:sz w:val="22"/>
        </w:rPr>
        <w:t xml:space="preserve">. </w:t>
      </w:r>
    </w:p>
    <w:p w14:paraId="5769C0AD" w14:textId="5DDA3AB1" w:rsidR="0008639A" w:rsidRPr="0008639A" w:rsidRDefault="0008639A" w:rsidP="0008639A">
      <w:pPr>
        <w:ind w:left="720"/>
        <w:rPr>
          <w:rFonts w:asciiTheme="majorHAnsi" w:hAnsiTheme="majorHAnsi" w:cstheme="majorHAnsi"/>
          <w:sz w:val="22"/>
        </w:rPr>
      </w:pPr>
      <w:r w:rsidRPr="0008639A">
        <w:rPr>
          <w:rFonts w:asciiTheme="majorHAnsi" w:hAnsiTheme="majorHAnsi" w:cstheme="majorHAnsi"/>
          <w:sz w:val="22"/>
        </w:rPr>
        <w:t>NPFC-2025-SSC BFME06-WP14</w:t>
      </w:r>
      <w:r w:rsidR="00DA4150">
        <w:rPr>
          <w:rFonts w:asciiTheme="majorHAnsi" w:hAnsiTheme="majorHAnsi" w:cstheme="majorHAnsi"/>
          <w:sz w:val="22"/>
        </w:rPr>
        <w:t>.</w:t>
      </w:r>
    </w:p>
    <w:p w14:paraId="0F119A19" w14:textId="77777777" w:rsidR="0008639A" w:rsidRPr="0008639A" w:rsidRDefault="0008639A" w:rsidP="0008639A">
      <w:pPr>
        <w:ind w:left="720" w:hanging="720"/>
        <w:rPr>
          <w:rFonts w:asciiTheme="majorHAnsi" w:hAnsiTheme="majorHAnsi" w:cstheme="majorHAnsi"/>
          <w:sz w:val="22"/>
        </w:rPr>
      </w:pPr>
    </w:p>
    <w:p w14:paraId="39D7D1C6" w14:textId="180A8733" w:rsidR="00670FC2" w:rsidRDefault="00670FC2" w:rsidP="0053211B">
      <w:pPr>
        <w:ind w:left="720" w:hanging="720"/>
        <w:rPr>
          <w:rFonts w:asciiTheme="majorHAnsi" w:hAnsiTheme="majorHAnsi" w:cstheme="majorHAnsi"/>
          <w:sz w:val="22"/>
        </w:rPr>
      </w:pPr>
      <w:r w:rsidRPr="00CE7650">
        <w:rPr>
          <w:rFonts w:asciiTheme="majorHAnsi" w:hAnsiTheme="majorHAnsi" w:cstheme="majorHAnsi"/>
          <w:sz w:val="22"/>
        </w:rPr>
        <w:t xml:space="preserve">Wood SN (2011). Fast stable </w:t>
      </w:r>
      <w:proofErr w:type="gramStart"/>
      <w:r w:rsidRPr="00CE7650">
        <w:rPr>
          <w:rFonts w:asciiTheme="majorHAnsi" w:hAnsiTheme="majorHAnsi" w:cstheme="majorHAnsi"/>
          <w:sz w:val="22"/>
        </w:rPr>
        <w:t>restricted</w:t>
      </w:r>
      <w:proofErr w:type="gramEnd"/>
      <w:r w:rsidRPr="00CE7650">
        <w:rPr>
          <w:rFonts w:asciiTheme="majorHAnsi" w:hAnsiTheme="majorHAnsi" w:cstheme="majorHAnsi"/>
          <w:sz w:val="22"/>
        </w:rPr>
        <w:t xml:space="preserve"> maximum likelihood and marginal likelihood estimation of semiparametric generalized linear models. Journal of the Royal Statistical Society (B) 73(1):3-36</w:t>
      </w:r>
      <w:r w:rsidR="00DA4150">
        <w:rPr>
          <w:rFonts w:asciiTheme="majorHAnsi" w:hAnsiTheme="majorHAnsi" w:cstheme="majorHAnsi"/>
          <w:sz w:val="22"/>
        </w:rPr>
        <w:t>.</w:t>
      </w:r>
    </w:p>
    <w:sectPr w:rsidR="00670FC2" w:rsidSect="00473456">
      <w:headerReference w:type="even" r:id="rId16"/>
      <w:footerReference w:type="default" r:id="rId17"/>
      <w:headerReference w:type="first" r:id="rId18"/>
      <w:footerReference w:type="first" r:id="rId19"/>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4A9A7" w14:textId="77777777" w:rsidR="000A407E" w:rsidRDefault="000A407E" w:rsidP="001E4075">
      <w:r>
        <w:separator/>
      </w:r>
    </w:p>
  </w:endnote>
  <w:endnote w:type="continuationSeparator" w:id="0">
    <w:p w14:paraId="2F5DCAA6" w14:textId="77777777" w:rsidR="000A407E" w:rsidRDefault="000A407E"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9"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6FcbHG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5A911A"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11AC" w14:textId="77777777" w:rsidR="000A407E" w:rsidRDefault="000A407E" w:rsidP="001E4075">
      <w:r>
        <w:separator/>
      </w:r>
    </w:p>
  </w:footnote>
  <w:footnote w:type="continuationSeparator" w:id="0">
    <w:p w14:paraId="17E482D8" w14:textId="77777777" w:rsidR="000A407E" w:rsidRDefault="000A407E"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C7B6" w14:textId="58957846" w:rsidR="00EC10C3" w:rsidRDefault="00EC10C3">
    <w:pPr>
      <w:pStyle w:val="Header"/>
    </w:pPr>
    <w:r>
      <w:rPr>
        <w:noProof/>
      </w:rPr>
      <mc:AlternateContent>
        <mc:Choice Requires="wps">
          <w:drawing>
            <wp:anchor distT="0" distB="0" distL="0" distR="0" simplePos="0" relativeHeight="251667456" behindDoc="0" locked="0" layoutInCell="1" allowOverlap="1" wp14:anchorId="7933ED78" wp14:editId="4A627CE8">
              <wp:simplePos x="635" y="635"/>
              <wp:positionH relativeFrom="page">
                <wp:align>right</wp:align>
              </wp:positionH>
              <wp:positionV relativeFrom="page">
                <wp:align>top</wp:align>
              </wp:positionV>
              <wp:extent cx="1917700" cy="376555"/>
              <wp:effectExtent l="0" t="0" r="0" b="4445"/>
              <wp:wrapNone/>
              <wp:docPr id="571996111"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69DC0AD2" w14:textId="39980BF5" w:rsidR="00EC10C3" w:rsidRPr="00EC10C3" w:rsidRDefault="00EC10C3" w:rsidP="00EC10C3">
                          <w:pPr>
                            <w:rPr>
                              <w:rFonts w:ascii="Calibri" w:eastAsia="Calibri" w:hAnsi="Calibri" w:cs="Calibri"/>
                              <w:noProof/>
                              <w:color w:val="000000"/>
                              <w:szCs w:val="24"/>
                            </w:rPr>
                          </w:pPr>
                          <w:r w:rsidRPr="00EC10C3">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933ED78"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69DC0AD2" w14:textId="39980BF5" w:rsidR="00EC10C3" w:rsidRPr="00EC10C3" w:rsidRDefault="00EC10C3" w:rsidP="00EC10C3">
                    <w:pPr>
                      <w:rPr>
                        <w:rFonts w:ascii="Calibri" w:eastAsia="Calibri" w:hAnsi="Calibri" w:cs="Calibri"/>
                        <w:noProof/>
                        <w:color w:val="000000"/>
                        <w:szCs w:val="24"/>
                      </w:rPr>
                    </w:pPr>
                    <w:r w:rsidRPr="00EC10C3">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46DC3D56"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0A29F9DE">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8536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36746973">
    <w:abstractNumId w:val="16"/>
  </w:num>
  <w:num w:numId="2" w16cid:durableId="1196430345">
    <w:abstractNumId w:val="7"/>
  </w:num>
  <w:num w:numId="3" w16cid:durableId="1001934446">
    <w:abstractNumId w:val="13"/>
  </w:num>
  <w:num w:numId="4" w16cid:durableId="865404464">
    <w:abstractNumId w:val="3"/>
  </w:num>
  <w:num w:numId="5" w16cid:durableId="1676685091">
    <w:abstractNumId w:val="5"/>
  </w:num>
  <w:num w:numId="6" w16cid:durableId="1650284173">
    <w:abstractNumId w:val="4"/>
  </w:num>
  <w:num w:numId="7" w16cid:durableId="1469783693">
    <w:abstractNumId w:val="11"/>
  </w:num>
  <w:num w:numId="8" w16cid:durableId="261844391">
    <w:abstractNumId w:val="10"/>
  </w:num>
  <w:num w:numId="9" w16cid:durableId="1565947241">
    <w:abstractNumId w:val="2"/>
  </w:num>
  <w:num w:numId="10" w16cid:durableId="1893153077">
    <w:abstractNumId w:val="1"/>
  </w:num>
  <w:num w:numId="11" w16cid:durableId="893271729">
    <w:abstractNumId w:val="8"/>
  </w:num>
  <w:num w:numId="12" w16cid:durableId="1023747899">
    <w:abstractNumId w:val="9"/>
  </w:num>
  <w:num w:numId="13" w16cid:durableId="448741764">
    <w:abstractNumId w:val="12"/>
  </w:num>
  <w:num w:numId="14" w16cid:durableId="1979262824">
    <w:abstractNumId w:val="15"/>
  </w:num>
  <w:num w:numId="15" w16cid:durableId="951397416">
    <w:abstractNumId w:val="17"/>
  </w:num>
  <w:num w:numId="16" w16cid:durableId="775562032">
    <w:abstractNumId w:val="14"/>
  </w:num>
  <w:num w:numId="17" w16cid:durableId="1951817204">
    <w:abstractNumId w:val="6"/>
  </w:num>
  <w:num w:numId="18" w16cid:durableId="5820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4687"/>
    <w:rsid w:val="00024B05"/>
    <w:rsid w:val="00027A27"/>
    <w:rsid w:val="000357B3"/>
    <w:rsid w:val="00041374"/>
    <w:rsid w:val="00046CD8"/>
    <w:rsid w:val="00047A5C"/>
    <w:rsid w:val="000513D6"/>
    <w:rsid w:val="00051EE5"/>
    <w:rsid w:val="0005251C"/>
    <w:rsid w:val="000529C5"/>
    <w:rsid w:val="0005577E"/>
    <w:rsid w:val="00061751"/>
    <w:rsid w:val="000662E1"/>
    <w:rsid w:val="00067155"/>
    <w:rsid w:val="000704A8"/>
    <w:rsid w:val="000834EC"/>
    <w:rsid w:val="0008639A"/>
    <w:rsid w:val="00091A0B"/>
    <w:rsid w:val="000A407E"/>
    <w:rsid w:val="000B2BF8"/>
    <w:rsid w:val="000B4AD6"/>
    <w:rsid w:val="000D1AEF"/>
    <w:rsid w:val="000F2CAF"/>
    <w:rsid w:val="000F6362"/>
    <w:rsid w:val="0010024F"/>
    <w:rsid w:val="00101045"/>
    <w:rsid w:val="001032F5"/>
    <w:rsid w:val="00105141"/>
    <w:rsid w:val="0012011D"/>
    <w:rsid w:val="00121F70"/>
    <w:rsid w:val="001258D9"/>
    <w:rsid w:val="0012771E"/>
    <w:rsid w:val="001304E5"/>
    <w:rsid w:val="00133824"/>
    <w:rsid w:val="00134EF3"/>
    <w:rsid w:val="00143AD0"/>
    <w:rsid w:val="00145822"/>
    <w:rsid w:val="001570D0"/>
    <w:rsid w:val="001625F3"/>
    <w:rsid w:val="00163CB7"/>
    <w:rsid w:val="0016564E"/>
    <w:rsid w:val="00166A4A"/>
    <w:rsid w:val="00166C46"/>
    <w:rsid w:val="0017129A"/>
    <w:rsid w:val="00173137"/>
    <w:rsid w:val="00174B55"/>
    <w:rsid w:val="00175ECE"/>
    <w:rsid w:val="001761C1"/>
    <w:rsid w:val="001858A3"/>
    <w:rsid w:val="001901CC"/>
    <w:rsid w:val="0019034B"/>
    <w:rsid w:val="00191234"/>
    <w:rsid w:val="00193A1F"/>
    <w:rsid w:val="00194A70"/>
    <w:rsid w:val="001A0619"/>
    <w:rsid w:val="001B0287"/>
    <w:rsid w:val="001E0853"/>
    <w:rsid w:val="001E0E77"/>
    <w:rsid w:val="001E39AC"/>
    <w:rsid w:val="001E4075"/>
    <w:rsid w:val="001E5FD1"/>
    <w:rsid w:val="001E7CE9"/>
    <w:rsid w:val="001F220C"/>
    <w:rsid w:val="001F2C3C"/>
    <w:rsid w:val="001F4FD2"/>
    <w:rsid w:val="00203DF4"/>
    <w:rsid w:val="00207F5A"/>
    <w:rsid w:val="00211732"/>
    <w:rsid w:val="002170D9"/>
    <w:rsid w:val="00240AE1"/>
    <w:rsid w:val="00254CE4"/>
    <w:rsid w:val="00256592"/>
    <w:rsid w:val="00260E22"/>
    <w:rsid w:val="00272B82"/>
    <w:rsid w:val="0029554A"/>
    <w:rsid w:val="00295B4F"/>
    <w:rsid w:val="0029754B"/>
    <w:rsid w:val="002A12A6"/>
    <w:rsid w:val="002C4D24"/>
    <w:rsid w:val="002D006C"/>
    <w:rsid w:val="002D092A"/>
    <w:rsid w:val="002D133B"/>
    <w:rsid w:val="002D4AC7"/>
    <w:rsid w:val="002D7A6B"/>
    <w:rsid w:val="002E6611"/>
    <w:rsid w:val="002F0598"/>
    <w:rsid w:val="003026AF"/>
    <w:rsid w:val="00302B41"/>
    <w:rsid w:val="003035D8"/>
    <w:rsid w:val="00312BCE"/>
    <w:rsid w:val="00314666"/>
    <w:rsid w:val="0031761D"/>
    <w:rsid w:val="00321065"/>
    <w:rsid w:val="003263BC"/>
    <w:rsid w:val="00335260"/>
    <w:rsid w:val="00335600"/>
    <w:rsid w:val="00335B8B"/>
    <w:rsid w:val="003375E3"/>
    <w:rsid w:val="003537C4"/>
    <w:rsid w:val="00360282"/>
    <w:rsid w:val="00360AF4"/>
    <w:rsid w:val="003618C7"/>
    <w:rsid w:val="00367AB2"/>
    <w:rsid w:val="0037691D"/>
    <w:rsid w:val="003775E9"/>
    <w:rsid w:val="003A2936"/>
    <w:rsid w:val="003A2FCD"/>
    <w:rsid w:val="003A3ABD"/>
    <w:rsid w:val="003A6E7F"/>
    <w:rsid w:val="003A71FD"/>
    <w:rsid w:val="003B24B1"/>
    <w:rsid w:val="003B2C17"/>
    <w:rsid w:val="003C09B2"/>
    <w:rsid w:val="003C0C52"/>
    <w:rsid w:val="003C29AF"/>
    <w:rsid w:val="003C29CF"/>
    <w:rsid w:val="003C2F8A"/>
    <w:rsid w:val="003C3DEF"/>
    <w:rsid w:val="003D041F"/>
    <w:rsid w:val="003E018F"/>
    <w:rsid w:val="003E6665"/>
    <w:rsid w:val="003F724E"/>
    <w:rsid w:val="00405666"/>
    <w:rsid w:val="00405745"/>
    <w:rsid w:val="00406572"/>
    <w:rsid w:val="00414EF3"/>
    <w:rsid w:val="00420F92"/>
    <w:rsid w:val="0042324B"/>
    <w:rsid w:val="00443D62"/>
    <w:rsid w:val="00446F32"/>
    <w:rsid w:val="0046235F"/>
    <w:rsid w:val="004653B4"/>
    <w:rsid w:val="00467004"/>
    <w:rsid w:val="00473456"/>
    <w:rsid w:val="0047355B"/>
    <w:rsid w:val="00473FAA"/>
    <w:rsid w:val="00483C8A"/>
    <w:rsid w:val="004A1438"/>
    <w:rsid w:val="004B20B3"/>
    <w:rsid w:val="004B3FEA"/>
    <w:rsid w:val="004C030E"/>
    <w:rsid w:val="004C6D02"/>
    <w:rsid w:val="004D28ED"/>
    <w:rsid w:val="004D6C76"/>
    <w:rsid w:val="004F410F"/>
    <w:rsid w:val="004F59AF"/>
    <w:rsid w:val="004F5D41"/>
    <w:rsid w:val="004F7F81"/>
    <w:rsid w:val="005145D7"/>
    <w:rsid w:val="005165B5"/>
    <w:rsid w:val="005171C1"/>
    <w:rsid w:val="00517896"/>
    <w:rsid w:val="00526114"/>
    <w:rsid w:val="00526162"/>
    <w:rsid w:val="0053211B"/>
    <w:rsid w:val="00534A34"/>
    <w:rsid w:val="005363DF"/>
    <w:rsid w:val="00542A18"/>
    <w:rsid w:val="00544511"/>
    <w:rsid w:val="00546F75"/>
    <w:rsid w:val="00551342"/>
    <w:rsid w:val="00552ACE"/>
    <w:rsid w:val="00554989"/>
    <w:rsid w:val="00555B8A"/>
    <w:rsid w:val="00556861"/>
    <w:rsid w:val="00561577"/>
    <w:rsid w:val="00565D47"/>
    <w:rsid w:val="00573D62"/>
    <w:rsid w:val="00577519"/>
    <w:rsid w:val="0059117F"/>
    <w:rsid w:val="0059174A"/>
    <w:rsid w:val="00591EC0"/>
    <w:rsid w:val="005A0ECE"/>
    <w:rsid w:val="005A745B"/>
    <w:rsid w:val="005B0188"/>
    <w:rsid w:val="005B5E99"/>
    <w:rsid w:val="005B7389"/>
    <w:rsid w:val="005C03E8"/>
    <w:rsid w:val="005C3C1B"/>
    <w:rsid w:val="005C72FB"/>
    <w:rsid w:val="005D65E3"/>
    <w:rsid w:val="005E2B60"/>
    <w:rsid w:val="005E58E7"/>
    <w:rsid w:val="005F4B0A"/>
    <w:rsid w:val="00607FBC"/>
    <w:rsid w:val="006335E8"/>
    <w:rsid w:val="00637D20"/>
    <w:rsid w:val="006435A9"/>
    <w:rsid w:val="006454D3"/>
    <w:rsid w:val="00654EBF"/>
    <w:rsid w:val="006563AE"/>
    <w:rsid w:val="006566A0"/>
    <w:rsid w:val="0066430C"/>
    <w:rsid w:val="006661BF"/>
    <w:rsid w:val="006703EB"/>
    <w:rsid w:val="00670FC2"/>
    <w:rsid w:val="006805D6"/>
    <w:rsid w:val="00686A29"/>
    <w:rsid w:val="0069174B"/>
    <w:rsid w:val="0069240F"/>
    <w:rsid w:val="006A775B"/>
    <w:rsid w:val="006B086A"/>
    <w:rsid w:val="006B4F3E"/>
    <w:rsid w:val="006D5D85"/>
    <w:rsid w:val="006E3E65"/>
    <w:rsid w:val="006E6863"/>
    <w:rsid w:val="006F6384"/>
    <w:rsid w:val="006F71FD"/>
    <w:rsid w:val="00702A3B"/>
    <w:rsid w:val="00705440"/>
    <w:rsid w:val="00706704"/>
    <w:rsid w:val="00710CC4"/>
    <w:rsid w:val="007129B9"/>
    <w:rsid w:val="00712C20"/>
    <w:rsid w:val="00714AAB"/>
    <w:rsid w:val="00716A39"/>
    <w:rsid w:val="007172A9"/>
    <w:rsid w:val="007176E2"/>
    <w:rsid w:val="007325CC"/>
    <w:rsid w:val="007330CD"/>
    <w:rsid w:val="007356F7"/>
    <w:rsid w:val="0074396C"/>
    <w:rsid w:val="00743AA1"/>
    <w:rsid w:val="007520B6"/>
    <w:rsid w:val="007526B3"/>
    <w:rsid w:val="00752843"/>
    <w:rsid w:val="007543D8"/>
    <w:rsid w:val="00762BF6"/>
    <w:rsid w:val="00765393"/>
    <w:rsid w:val="007709F4"/>
    <w:rsid w:val="00770C12"/>
    <w:rsid w:val="00772DD1"/>
    <w:rsid w:val="007770CE"/>
    <w:rsid w:val="00792CFB"/>
    <w:rsid w:val="00797B8B"/>
    <w:rsid w:val="007A0BF5"/>
    <w:rsid w:val="007A7581"/>
    <w:rsid w:val="007B09F9"/>
    <w:rsid w:val="007B0EC6"/>
    <w:rsid w:val="007B2D54"/>
    <w:rsid w:val="007B5EEC"/>
    <w:rsid w:val="007C67D4"/>
    <w:rsid w:val="007D3D13"/>
    <w:rsid w:val="007D7149"/>
    <w:rsid w:val="007E2A71"/>
    <w:rsid w:val="007E50DD"/>
    <w:rsid w:val="007F03CC"/>
    <w:rsid w:val="007F14D5"/>
    <w:rsid w:val="007F17DA"/>
    <w:rsid w:val="007F4819"/>
    <w:rsid w:val="007F58CA"/>
    <w:rsid w:val="00804BA7"/>
    <w:rsid w:val="00815417"/>
    <w:rsid w:val="00816E32"/>
    <w:rsid w:val="00823E0A"/>
    <w:rsid w:val="00824B2F"/>
    <w:rsid w:val="00843F53"/>
    <w:rsid w:val="0085242C"/>
    <w:rsid w:val="0087214D"/>
    <w:rsid w:val="00876FD4"/>
    <w:rsid w:val="00880204"/>
    <w:rsid w:val="00880A8A"/>
    <w:rsid w:val="00882AA3"/>
    <w:rsid w:val="00882FDB"/>
    <w:rsid w:val="008832D9"/>
    <w:rsid w:val="008A0AAA"/>
    <w:rsid w:val="008B501E"/>
    <w:rsid w:val="008C08D0"/>
    <w:rsid w:val="008C7310"/>
    <w:rsid w:val="008F6968"/>
    <w:rsid w:val="009062D7"/>
    <w:rsid w:val="00921B21"/>
    <w:rsid w:val="00921C3E"/>
    <w:rsid w:val="00923FC6"/>
    <w:rsid w:val="00950929"/>
    <w:rsid w:val="009513CC"/>
    <w:rsid w:val="00952D36"/>
    <w:rsid w:val="00961A2E"/>
    <w:rsid w:val="00963EB5"/>
    <w:rsid w:val="00963FDA"/>
    <w:rsid w:val="00967855"/>
    <w:rsid w:val="009764CB"/>
    <w:rsid w:val="0098034E"/>
    <w:rsid w:val="00984E48"/>
    <w:rsid w:val="00985457"/>
    <w:rsid w:val="009906C5"/>
    <w:rsid w:val="009940EF"/>
    <w:rsid w:val="009B2F80"/>
    <w:rsid w:val="009C5E77"/>
    <w:rsid w:val="009D0AB7"/>
    <w:rsid w:val="009D1AF4"/>
    <w:rsid w:val="009D2089"/>
    <w:rsid w:val="009E00BA"/>
    <w:rsid w:val="009E44B4"/>
    <w:rsid w:val="009F190E"/>
    <w:rsid w:val="009F36E8"/>
    <w:rsid w:val="009F460E"/>
    <w:rsid w:val="009F4D55"/>
    <w:rsid w:val="00A11092"/>
    <w:rsid w:val="00A12701"/>
    <w:rsid w:val="00A14207"/>
    <w:rsid w:val="00A17943"/>
    <w:rsid w:val="00A31756"/>
    <w:rsid w:val="00A32D41"/>
    <w:rsid w:val="00A37CDC"/>
    <w:rsid w:val="00A423E7"/>
    <w:rsid w:val="00A55FC4"/>
    <w:rsid w:val="00A7704B"/>
    <w:rsid w:val="00A93637"/>
    <w:rsid w:val="00A94688"/>
    <w:rsid w:val="00AA367E"/>
    <w:rsid w:val="00AA678F"/>
    <w:rsid w:val="00AB5C85"/>
    <w:rsid w:val="00AC6A21"/>
    <w:rsid w:val="00AC7C83"/>
    <w:rsid w:val="00AD76E7"/>
    <w:rsid w:val="00AE03AC"/>
    <w:rsid w:val="00AE30CF"/>
    <w:rsid w:val="00AE770C"/>
    <w:rsid w:val="00B00A7B"/>
    <w:rsid w:val="00B0637D"/>
    <w:rsid w:val="00B13E26"/>
    <w:rsid w:val="00B14F50"/>
    <w:rsid w:val="00B203A4"/>
    <w:rsid w:val="00B31000"/>
    <w:rsid w:val="00B40C8C"/>
    <w:rsid w:val="00B40D7B"/>
    <w:rsid w:val="00B46C6B"/>
    <w:rsid w:val="00B634C7"/>
    <w:rsid w:val="00B640C8"/>
    <w:rsid w:val="00B7129C"/>
    <w:rsid w:val="00B712BB"/>
    <w:rsid w:val="00B72E51"/>
    <w:rsid w:val="00B8336F"/>
    <w:rsid w:val="00B8528B"/>
    <w:rsid w:val="00B91ED2"/>
    <w:rsid w:val="00BA27E0"/>
    <w:rsid w:val="00BA5DE2"/>
    <w:rsid w:val="00BB18A0"/>
    <w:rsid w:val="00BB1FD8"/>
    <w:rsid w:val="00BB291F"/>
    <w:rsid w:val="00BB5E3D"/>
    <w:rsid w:val="00BD4E6B"/>
    <w:rsid w:val="00BD604B"/>
    <w:rsid w:val="00BF6A19"/>
    <w:rsid w:val="00BF71DF"/>
    <w:rsid w:val="00BF747F"/>
    <w:rsid w:val="00C10A77"/>
    <w:rsid w:val="00C115CE"/>
    <w:rsid w:val="00C20C84"/>
    <w:rsid w:val="00C231B1"/>
    <w:rsid w:val="00C434E0"/>
    <w:rsid w:val="00C50512"/>
    <w:rsid w:val="00C50E07"/>
    <w:rsid w:val="00C7531F"/>
    <w:rsid w:val="00C83C38"/>
    <w:rsid w:val="00C84B2D"/>
    <w:rsid w:val="00C872B3"/>
    <w:rsid w:val="00C90BD9"/>
    <w:rsid w:val="00C922BD"/>
    <w:rsid w:val="00CA08CC"/>
    <w:rsid w:val="00CB3951"/>
    <w:rsid w:val="00CB5C22"/>
    <w:rsid w:val="00CC2E8B"/>
    <w:rsid w:val="00CC48E0"/>
    <w:rsid w:val="00CD1356"/>
    <w:rsid w:val="00CD2D44"/>
    <w:rsid w:val="00CE36AD"/>
    <w:rsid w:val="00CE3A42"/>
    <w:rsid w:val="00CE7650"/>
    <w:rsid w:val="00D05EA2"/>
    <w:rsid w:val="00D34FC1"/>
    <w:rsid w:val="00D42168"/>
    <w:rsid w:val="00D46558"/>
    <w:rsid w:val="00D46887"/>
    <w:rsid w:val="00D503E4"/>
    <w:rsid w:val="00D5361F"/>
    <w:rsid w:val="00D55E9F"/>
    <w:rsid w:val="00D60A7D"/>
    <w:rsid w:val="00D62070"/>
    <w:rsid w:val="00D62613"/>
    <w:rsid w:val="00D748F7"/>
    <w:rsid w:val="00D842F0"/>
    <w:rsid w:val="00D856B5"/>
    <w:rsid w:val="00D97451"/>
    <w:rsid w:val="00DA08A2"/>
    <w:rsid w:val="00DA1D60"/>
    <w:rsid w:val="00DA2D56"/>
    <w:rsid w:val="00DA4150"/>
    <w:rsid w:val="00DA63C3"/>
    <w:rsid w:val="00DA7472"/>
    <w:rsid w:val="00DA7754"/>
    <w:rsid w:val="00DB0931"/>
    <w:rsid w:val="00DC041A"/>
    <w:rsid w:val="00DD287E"/>
    <w:rsid w:val="00DD4487"/>
    <w:rsid w:val="00DF1F3C"/>
    <w:rsid w:val="00DF259B"/>
    <w:rsid w:val="00DF647D"/>
    <w:rsid w:val="00E135A7"/>
    <w:rsid w:val="00E1388A"/>
    <w:rsid w:val="00E17A80"/>
    <w:rsid w:val="00E207AE"/>
    <w:rsid w:val="00E20FD9"/>
    <w:rsid w:val="00E276CA"/>
    <w:rsid w:val="00E31EDA"/>
    <w:rsid w:val="00E341C1"/>
    <w:rsid w:val="00E367AD"/>
    <w:rsid w:val="00E40311"/>
    <w:rsid w:val="00E52A27"/>
    <w:rsid w:val="00E5555A"/>
    <w:rsid w:val="00E575D4"/>
    <w:rsid w:val="00E60EBB"/>
    <w:rsid w:val="00E8004D"/>
    <w:rsid w:val="00E8413E"/>
    <w:rsid w:val="00E87E2C"/>
    <w:rsid w:val="00E91E89"/>
    <w:rsid w:val="00E927A5"/>
    <w:rsid w:val="00EA127C"/>
    <w:rsid w:val="00EA147D"/>
    <w:rsid w:val="00EA7C34"/>
    <w:rsid w:val="00EB2E52"/>
    <w:rsid w:val="00EC10C3"/>
    <w:rsid w:val="00ED39DC"/>
    <w:rsid w:val="00ED3AC8"/>
    <w:rsid w:val="00EE364C"/>
    <w:rsid w:val="00EE5D77"/>
    <w:rsid w:val="00EE6D44"/>
    <w:rsid w:val="00EF1D82"/>
    <w:rsid w:val="00EF36B3"/>
    <w:rsid w:val="00EF6ECA"/>
    <w:rsid w:val="00F01870"/>
    <w:rsid w:val="00F144AC"/>
    <w:rsid w:val="00F234D6"/>
    <w:rsid w:val="00F32B7D"/>
    <w:rsid w:val="00F43224"/>
    <w:rsid w:val="00F4605F"/>
    <w:rsid w:val="00F47A72"/>
    <w:rsid w:val="00F56E9B"/>
    <w:rsid w:val="00F626AE"/>
    <w:rsid w:val="00F658B7"/>
    <w:rsid w:val="00F71DE4"/>
    <w:rsid w:val="00F741B4"/>
    <w:rsid w:val="00F8474A"/>
    <w:rsid w:val="00F9558E"/>
    <w:rsid w:val="00FB6993"/>
    <w:rsid w:val="00FB7FC2"/>
    <w:rsid w:val="00FC04AA"/>
    <w:rsid w:val="00FD0F7A"/>
    <w:rsid w:val="00FD20B4"/>
    <w:rsid w:val="00FD2C0B"/>
    <w:rsid w:val="00FD7BC4"/>
    <w:rsid w:val="00FE6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EF36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36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36B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EF36B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F36B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9D0AB7"/>
    <w:rPr>
      <w:sz w:val="16"/>
      <w:szCs w:val="16"/>
    </w:rPr>
  </w:style>
  <w:style w:type="paragraph" w:styleId="CommentText">
    <w:name w:val="annotation text"/>
    <w:basedOn w:val="Normal"/>
    <w:link w:val="CommentTextChar"/>
    <w:uiPriority w:val="99"/>
    <w:unhideWhenUsed/>
    <w:rsid w:val="009D0AB7"/>
    <w:rPr>
      <w:sz w:val="20"/>
      <w:szCs w:val="20"/>
    </w:rPr>
  </w:style>
  <w:style w:type="character" w:customStyle="1" w:styleId="CommentTextChar">
    <w:name w:val="Comment Text Char"/>
    <w:basedOn w:val="DefaultParagraphFont"/>
    <w:link w:val="CommentText"/>
    <w:uiPriority w:val="99"/>
    <w:rsid w:val="009D0A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D0AB7"/>
    <w:rPr>
      <w:b/>
      <w:bCs/>
    </w:rPr>
  </w:style>
  <w:style w:type="character" w:customStyle="1" w:styleId="CommentSubjectChar">
    <w:name w:val="Comment Subject Char"/>
    <w:basedOn w:val="CommentTextChar"/>
    <w:link w:val="CommentSubject"/>
    <w:uiPriority w:val="99"/>
    <w:semiHidden/>
    <w:rsid w:val="009D0AB7"/>
    <w:rPr>
      <w:rFonts w:ascii="Times New Roman" w:hAnsi="Times New Roman"/>
      <w:b/>
      <w:bCs/>
      <w:sz w:val="20"/>
      <w:szCs w:val="20"/>
    </w:rPr>
  </w:style>
  <w:style w:type="paragraph" w:styleId="Revision">
    <w:name w:val="Revision"/>
    <w:hidden/>
    <w:uiPriority w:val="99"/>
    <w:semiHidden/>
    <w:rsid w:val="007B5EEC"/>
    <w:rPr>
      <w:rFonts w:ascii="Times New Roman" w:hAnsi="Times New Roman"/>
      <w:sz w:val="24"/>
    </w:rPr>
  </w:style>
  <w:style w:type="character" w:customStyle="1" w:styleId="Heading1Char">
    <w:name w:val="Heading 1 Char"/>
    <w:basedOn w:val="DefaultParagraphFont"/>
    <w:link w:val="Heading1"/>
    <w:uiPriority w:val="9"/>
    <w:rsid w:val="00EF36B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36B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36B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36B3"/>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rsid w:val="00EF36B3"/>
    <w:rPr>
      <w:rFonts w:asciiTheme="majorHAnsi" w:eastAsiaTheme="majorEastAsia" w:hAnsiTheme="majorHAnsi" w:cstheme="majorBidi"/>
      <w:color w:val="2E74B5" w:themeColor="accent1" w:themeShade="BF"/>
      <w:sz w:val="24"/>
    </w:rPr>
  </w:style>
  <w:style w:type="paragraph" w:styleId="NormalWeb">
    <w:name w:val="Normal (Web)"/>
    <w:basedOn w:val="Normal"/>
    <w:uiPriority w:val="99"/>
    <w:unhideWhenUsed/>
    <w:rsid w:val="002C4D24"/>
    <w:pPr>
      <w:widowControl/>
      <w:spacing w:before="100" w:beforeAutospacing="1" w:after="100" w:afterAutospacing="1"/>
      <w:jc w:val="left"/>
    </w:pPr>
    <w:rPr>
      <w:rFonts w:eastAsia="Times New Roman"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8804">
      <w:bodyDiv w:val="1"/>
      <w:marLeft w:val="0"/>
      <w:marRight w:val="0"/>
      <w:marTop w:val="0"/>
      <w:marBottom w:val="0"/>
      <w:divBdr>
        <w:top w:val="none" w:sz="0" w:space="0" w:color="auto"/>
        <w:left w:val="none" w:sz="0" w:space="0" w:color="auto"/>
        <w:bottom w:val="none" w:sz="0" w:space="0" w:color="auto"/>
        <w:right w:val="none" w:sz="0" w:space="0" w:color="auto"/>
      </w:divBdr>
      <w:divsChild>
        <w:div w:id="573659069">
          <w:marLeft w:val="0"/>
          <w:marRight w:val="0"/>
          <w:marTop w:val="0"/>
          <w:marBottom w:val="0"/>
          <w:divBdr>
            <w:top w:val="none" w:sz="0" w:space="0" w:color="auto"/>
            <w:left w:val="none" w:sz="0" w:space="0" w:color="auto"/>
            <w:bottom w:val="none" w:sz="0" w:space="0" w:color="auto"/>
            <w:right w:val="none" w:sz="0" w:space="0" w:color="auto"/>
          </w:divBdr>
        </w:div>
        <w:div w:id="577789591">
          <w:marLeft w:val="0"/>
          <w:marRight w:val="0"/>
          <w:marTop w:val="0"/>
          <w:marBottom w:val="0"/>
          <w:divBdr>
            <w:top w:val="none" w:sz="0" w:space="0" w:color="auto"/>
            <w:left w:val="none" w:sz="0" w:space="0" w:color="auto"/>
            <w:bottom w:val="none" w:sz="0" w:space="0" w:color="auto"/>
            <w:right w:val="none" w:sz="0" w:space="0" w:color="auto"/>
          </w:divBdr>
        </w:div>
        <w:div w:id="1709913533">
          <w:marLeft w:val="0"/>
          <w:marRight w:val="0"/>
          <w:marTop w:val="0"/>
          <w:marBottom w:val="0"/>
          <w:divBdr>
            <w:top w:val="none" w:sz="0" w:space="0" w:color="auto"/>
            <w:left w:val="none" w:sz="0" w:space="0" w:color="auto"/>
            <w:bottom w:val="none" w:sz="0" w:space="0" w:color="auto"/>
            <w:right w:val="none" w:sz="0" w:space="0" w:color="auto"/>
          </w:divBdr>
        </w:div>
        <w:div w:id="704478791">
          <w:marLeft w:val="0"/>
          <w:marRight w:val="0"/>
          <w:marTop w:val="0"/>
          <w:marBottom w:val="0"/>
          <w:divBdr>
            <w:top w:val="none" w:sz="0" w:space="0" w:color="auto"/>
            <w:left w:val="none" w:sz="0" w:space="0" w:color="auto"/>
            <w:bottom w:val="none" w:sz="0" w:space="0" w:color="auto"/>
            <w:right w:val="none" w:sz="0" w:space="0" w:color="auto"/>
          </w:divBdr>
        </w:div>
        <w:div w:id="275715240">
          <w:marLeft w:val="0"/>
          <w:marRight w:val="0"/>
          <w:marTop w:val="0"/>
          <w:marBottom w:val="0"/>
          <w:divBdr>
            <w:top w:val="none" w:sz="0" w:space="0" w:color="auto"/>
            <w:left w:val="none" w:sz="0" w:space="0" w:color="auto"/>
            <w:bottom w:val="none" w:sz="0" w:space="0" w:color="auto"/>
            <w:right w:val="none" w:sz="0" w:space="0" w:color="auto"/>
          </w:divBdr>
        </w:div>
        <w:div w:id="127279831">
          <w:marLeft w:val="0"/>
          <w:marRight w:val="0"/>
          <w:marTop w:val="0"/>
          <w:marBottom w:val="0"/>
          <w:divBdr>
            <w:top w:val="none" w:sz="0" w:space="0" w:color="auto"/>
            <w:left w:val="none" w:sz="0" w:space="0" w:color="auto"/>
            <w:bottom w:val="none" w:sz="0" w:space="0" w:color="auto"/>
            <w:right w:val="none" w:sz="0" w:space="0" w:color="auto"/>
          </w:divBdr>
        </w:div>
        <w:div w:id="921791287">
          <w:marLeft w:val="0"/>
          <w:marRight w:val="0"/>
          <w:marTop w:val="0"/>
          <w:marBottom w:val="0"/>
          <w:divBdr>
            <w:top w:val="none" w:sz="0" w:space="0" w:color="auto"/>
            <w:left w:val="none" w:sz="0" w:space="0" w:color="auto"/>
            <w:bottom w:val="none" w:sz="0" w:space="0" w:color="auto"/>
            <w:right w:val="none" w:sz="0" w:space="0" w:color="auto"/>
          </w:divBdr>
        </w:div>
        <w:div w:id="902832125">
          <w:marLeft w:val="0"/>
          <w:marRight w:val="0"/>
          <w:marTop w:val="0"/>
          <w:marBottom w:val="0"/>
          <w:divBdr>
            <w:top w:val="none" w:sz="0" w:space="0" w:color="auto"/>
            <w:left w:val="none" w:sz="0" w:space="0" w:color="auto"/>
            <w:bottom w:val="none" w:sz="0" w:space="0" w:color="auto"/>
            <w:right w:val="none" w:sz="0" w:space="0" w:color="auto"/>
          </w:divBdr>
        </w:div>
        <w:div w:id="890114563">
          <w:marLeft w:val="0"/>
          <w:marRight w:val="0"/>
          <w:marTop w:val="0"/>
          <w:marBottom w:val="0"/>
          <w:divBdr>
            <w:top w:val="none" w:sz="0" w:space="0" w:color="auto"/>
            <w:left w:val="none" w:sz="0" w:space="0" w:color="auto"/>
            <w:bottom w:val="none" w:sz="0" w:space="0" w:color="auto"/>
            <w:right w:val="none" w:sz="0" w:space="0" w:color="auto"/>
          </w:divBdr>
        </w:div>
        <w:div w:id="2073697015">
          <w:marLeft w:val="0"/>
          <w:marRight w:val="0"/>
          <w:marTop w:val="0"/>
          <w:marBottom w:val="0"/>
          <w:divBdr>
            <w:top w:val="none" w:sz="0" w:space="0" w:color="auto"/>
            <w:left w:val="none" w:sz="0" w:space="0" w:color="auto"/>
            <w:bottom w:val="none" w:sz="0" w:space="0" w:color="auto"/>
            <w:right w:val="none" w:sz="0" w:space="0" w:color="auto"/>
          </w:divBdr>
        </w:div>
        <w:div w:id="195700560">
          <w:marLeft w:val="0"/>
          <w:marRight w:val="0"/>
          <w:marTop w:val="0"/>
          <w:marBottom w:val="0"/>
          <w:divBdr>
            <w:top w:val="none" w:sz="0" w:space="0" w:color="auto"/>
            <w:left w:val="none" w:sz="0" w:space="0" w:color="auto"/>
            <w:bottom w:val="none" w:sz="0" w:space="0" w:color="auto"/>
            <w:right w:val="none" w:sz="0" w:space="0" w:color="auto"/>
          </w:divBdr>
        </w:div>
        <w:div w:id="1312059265">
          <w:marLeft w:val="0"/>
          <w:marRight w:val="0"/>
          <w:marTop w:val="0"/>
          <w:marBottom w:val="0"/>
          <w:divBdr>
            <w:top w:val="none" w:sz="0" w:space="0" w:color="auto"/>
            <w:left w:val="none" w:sz="0" w:space="0" w:color="auto"/>
            <w:bottom w:val="none" w:sz="0" w:space="0" w:color="auto"/>
            <w:right w:val="none" w:sz="0" w:space="0" w:color="auto"/>
          </w:divBdr>
        </w:div>
        <w:div w:id="1407193161">
          <w:marLeft w:val="0"/>
          <w:marRight w:val="0"/>
          <w:marTop w:val="0"/>
          <w:marBottom w:val="0"/>
          <w:divBdr>
            <w:top w:val="none" w:sz="0" w:space="0" w:color="auto"/>
            <w:left w:val="none" w:sz="0" w:space="0" w:color="auto"/>
            <w:bottom w:val="none" w:sz="0" w:space="0" w:color="auto"/>
            <w:right w:val="none" w:sz="0" w:space="0" w:color="auto"/>
          </w:divBdr>
        </w:div>
        <w:div w:id="1281063021">
          <w:marLeft w:val="0"/>
          <w:marRight w:val="0"/>
          <w:marTop w:val="0"/>
          <w:marBottom w:val="0"/>
          <w:divBdr>
            <w:top w:val="none" w:sz="0" w:space="0" w:color="auto"/>
            <w:left w:val="none" w:sz="0" w:space="0" w:color="auto"/>
            <w:bottom w:val="none" w:sz="0" w:space="0" w:color="auto"/>
            <w:right w:val="none" w:sz="0" w:space="0" w:color="auto"/>
          </w:divBdr>
        </w:div>
        <w:div w:id="225990445">
          <w:marLeft w:val="0"/>
          <w:marRight w:val="0"/>
          <w:marTop w:val="0"/>
          <w:marBottom w:val="0"/>
          <w:divBdr>
            <w:top w:val="none" w:sz="0" w:space="0" w:color="auto"/>
            <w:left w:val="none" w:sz="0" w:space="0" w:color="auto"/>
            <w:bottom w:val="none" w:sz="0" w:space="0" w:color="auto"/>
            <w:right w:val="none" w:sz="0" w:space="0" w:color="auto"/>
          </w:divBdr>
        </w:div>
        <w:div w:id="2127040623">
          <w:marLeft w:val="0"/>
          <w:marRight w:val="0"/>
          <w:marTop w:val="0"/>
          <w:marBottom w:val="0"/>
          <w:divBdr>
            <w:top w:val="none" w:sz="0" w:space="0" w:color="auto"/>
            <w:left w:val="none" w:sz="0" w:space="0" w:color="auto"/>
            <w:bottom w:val="none" w:sz="0" w:space="0" w:color="auto"/>
            <w:right w:val="none" w:sz="0" w:space="0" w:color="auto"/>
          </w:divBdr>
        </w:div>
        <w:div w:id="275916800">
          <w:marLeft w:val="0"/>
          <w:marRight w:val="0"/>
          <w:marTop w:val="0"/>
          <w:marBottom w:val="0"/>
          <w:divBdr>
            <w:top w:val="none" w:sz="0" w:space="0" w:color="auto"/>
            <w:left w:val="none" w:sz="0" w:space="0" w:color="auto"/>
            <w:bottom w:val="none" w:sz="0" w:space="0" w:color="auto"/>
            <w:right w:val="none" w:sz="0" w:space="0" w:color="auto"/>
          </w:divBdr>
        </w:div>
        <w:div w:id="235286426">
          <w:marLeft w:val="0"/>
          <w:marRight w:val="0"/>
          <w:marTop w:val="0"/>
          <w:marBottom w:val="0"/>
          <w:divBdr>
            <w:top w:val="none" w:sz="0" w:space="0" w:color="auto"/>
            <w:left w:val="none" w:sz="0" w:space="0" w:color="auto"/>
            <w:bottom w:val="none" w:sz="0" w:space="0" w:color="auto"/>
            <w:right w:val="none" w:sz="0" w:space="0" w:color="auto"/>
          </w:divBdr>
        </w:div>
        <w:div w:id="817109201">
          <w:marLeft w:val="0"/>
          <w:marRight w:val="0"/>
          <w:marTop w:val="0"/>
          <w:marBottom w:val="0"/>
          <w:divBdr>
            <w:top w:val="none" w:sz="0" w:space="0" w:color="auto"/>
            <w:left w:val="none" w:sz="0" w:space="0" w:color="auto"/>
            <w:bottom w:val="none" w:sz="0" w:space="0" w:color="auto"/>
            <w:right w:val="none" w:sz="0" w:space="0" w:color="auto"/>
          </w:divBdr>
        </w:div>
        <w:div w:id="251932307">
          <w:marLeft w:val="0"/>
          <w:marRight w:val="0"/>
          <w:marTop w:val="0"/>
          <w:marBottom w:val="0"/>
          <w:divBdr>
            <w:top w:val="none" w:sz="0" w:space="0" w:color="auto"/>
            <w:left w:val="none" w:sz="0" w:space="0" w:color="auto"/>
            <w:bottom w:val="none" w:sz="0" w:space="0" w:color="auto"/>
            <w:right w:val="none" w:sz="0" w:space="0" w:color="auto"/>
          </w:divBdr>
        </w:div>
        <w:div w:id="1703047534">
          <w:marLeft w:val="0"/>
          <w:marRight w:val="0"/>
          <w:marTop w:val="0"/>
          <w:marBottom w:val="0"/>
          <w:divBdr>
            <w:top w:val="none" w:sz="0" w:space="0" w:color="auto"/>
            <w:left w:val="none" w:sz="0" w:space="0" w:color="auto"/>
            <w:bottom w:val="none" w:sz="0" w:space="0" w:color="auto"/>
            <w:right w:val="none" w:sz="0" w:space="0" w:color="auto"/>
          </w:divBdr>
        </w:div>
        <w:div w:id="1048187613">
          <w:marLeft w:val="0"/>
          <w:marRight w:val="0"/>
          <w:marTop w:val="0"/>
          <w:marBottom w:val="0"/>
          <w:divBdr>
            <w:top w:val="none" w:sz="0" w:space="0" w:color="auto"/>
            <w:left w:val="none" w:sz="0" w:space="0" w:color="auto"/>
            <w:bottom w:val="none" w:sz="0" w:space="0" w:color="auto"/>
            <w:right w:val="none" w:sz="0" w:space="0" w:color="auto"/>
          </w:divBdr>
        </w:div>
        <w:div w:id="1212115065">
          <w:marLeft w:val="0"/>
          <w:marRight w:val="0"/>
          <w:marTop w:val="0"/>
          <w:marBottom w:val="0"/>
          <w:divBdr>
            <w:top w:val="none" w:sz="0" w:space="0" w:color="auto"/>
            <w:left w:val="none" w:sz="0" w:space="0" w:color="auto"/>
            <w:bottom w:val="none" w:sz="0" w:space="0" w:color="auto"/>
            <w:right w:val="none" w:sz="0" w:space="0" w:color="auto"/>
          </w:divBdr>
        </w:div>
        <w:div w:id="597638106">
          <w:marLeft w:val="0"/>
          <w:marRight w:val="0"/>
          <w:marTop w:val="0"/>
          <w:marBottom w:val="0"/>
          <w:divBdr>
            <w:top w:val="none" w:sz="0" w:space="0" w:color="auto"/>
            <w:left w:val="none" w:sz="0" w:space="0" w:color="auto"/>
            <w:bottom w:val="none" w:sz="0" w:space="0" w:color="auto"/>
            <w:right w:val="none" w:sz="0" w:space="0" w:color="auto"/>
          </w:divBdr>
        </w:div>
        <w:div w:id="810290226">
          <w:marLeft w:val="0"/>
          <w:marRight w:val="0"/>
          <w:marTop w:val="0"/>
          <w:marBottom w:val="0"/>
          <w:divBdr>
            <w:top w:val="none" w:sz="0" w:space="0" w:color="auto"/>
            <w:left w:val="none" w:sz="0" w:space="0" w:color="auto"/>
            <w:bottom w:val="none" w:sz="0" w:space="0" w:color="auto"/>
            <w:right w:val="none" w:sz="0" w:space="0" w:color="auto"/>
          </w:divBdr>
        </w:div>
        <w:div w:id="1802459115">
          <w:marLeft w:val="0"/>
          <w:marRight w:val="0"/>
          <w:marTop w:val="0"/>
          <w:marBottom w:val="0"/>
          <w:divBdr>
            <w:top w:val="none" w:sz="0" w:space="0" w:color="auto"/>
            <w:left w:val="none" w:sz="0" w:space="0" w:color="auto"/>
            <w:bottom w:val="none" w:sz="0" w:space="0" w:color="auto"/>
            <w:right w:val="none" w:sz="0" w:space="0" w:color="auto"/>
          </w:divBdr>
        </w:div>
        <w:div w:id="1965232439">
          <w:marLeft w:val="0"/>
          <w:marRight w:val="0"/>
          <w:marTop w:val="0"/>
          <w:marBottom w:val="0"/>
          <w:divBdr>
            <w:top w:val="none" w:sz="0" w:space="0" w:color="auto"/>
            <w:left w:val="none" w:sz="0" w:space="0" w:color="auto"/>
            <w:bottom w:val="none" w:sz="0" w:space="0" w:color="auto"/>
            <w:right w:val="none" w:sz="0" w:space="0" w:color="auto"/>
          </w:divBdr>
        </w:div>
        <w:div w:id="1812558797">
          <w:marLeft w:val="0"/>
          <w:marRight w:val="0"/>
          <w:marTop w:val="0"/>
          <w:marBottom w:val="0"/>
          <w:divBdr>
            <w:top w:val="none" w:sz="0" w:space="0" w:color="auto"/>
            <w:left w:val="none" w:sz="0" w:space="0" w:color="auto"/>
            <w:bottom w:val="none" w:sz="0" w:space="0" w:color="auto"/>
            <w:right w:val="none" w:sz="0" w:space="0" w:color="auto"/>
          </w:divBdr>
        </w:div>
        <w:div w:id="815418395">
          <w:marLeft w:val="0"/>
          <w:marRight w:val="0"/>
          <w:marTop w:val="0"/>
          <w:marBottom w:val="0"/>
          <w:divBdr>
            <w:top w:val="none" w:sz="0" w:space="0" w:color="auto"/>
            <w:left w:val="none" w:sz="0" w:space="0" w:color="auto"/>
            <w:bottom w:val="none" w:sz="0" w:space="0" w:color="auto"/>
            <w:right w:val="none" w:sz="0" w:space="0" w:color="auto"/>
          </w:divBdr>
        </w:div>
        <w:div w:id="1287809801">
          <w:marLeft w:val="0"/>
          <w:marRight w:val="0"/>
          <w:marTop w:val="0"/>
          <w:marBottom w:val="0"/>
          <w:divBdr>
            <w:top w:val="none" w:sz="0" w:space="0" w:color="auto"/>
            <w:left w:val="none" w:sz="0" w:space="0" w:color="auto"/>
            <w:bottom w:val="none" w:sz="0" w:space="0" w:color="auto"/>
            <w:right w:val="none" w:sz="0" w:space="0" w:color="auto"/>
          </w:divBdr>
        </w:div>
        <w:div w:id="1757050097">
          <w:marLeft w:val="0"/>
          <w:marRight w:val="0"/>
          <w:marTop w:val="0"/>
          <w:marBottom w:val="0"/>
          <w:divBdr>
            <w:top w:val="none" w:sz="0" w:space="0" w:color="auto"/>
            <w:left w:val="none" w:sz="0" w:space="0" w:color="auto"/>
            <w:bottom w:val="none" w:sz="0" w:space="0" w:color="auto"/>
            <w:right w:val="none" w:sz="0" w:space="0" w:color="auto"/>
          </w:divBdr>
        </w:div>
        <w:div w:id="2048791249">
          <w:marLeft w:val="0"/>
          <w:marRight w:val="0"/>
          <w:marTop w:val="0"/>
          <w:marBottom w:val="0"/>
          <w:divBdr>
            <w:top w:val="none" w:sz="0" w:space="0" w:color="auto"/>
            <w:left w:val="none" w:sz="0" w:space="0" w:color="auto"/>
            <w:bottom w:val="none" w:sz="0" w:space="0" w:color="auto"/>
            <w:right w:val="none" w:sz="0" w:space="0" w:color="auto"/>
          </w:divBdr>
        </w:div>
        <w:div w:id="1911847258">
          <w:marLeft w:val="0"/>
          <w:marRight w:val="0"/>
          <w:marTop w:val="0"/>
          <w:marBottom w:val="0"/>
          <w:divBdr>
            <w:top w:val="none" w:sz="0" w:space="0" w:color="auto"/>
            <w:left w:val="none" w:sz="0" w:space="0" w:color="auto"/>
            <w:bottom w:val="none" w:sz="0" w:space="0" w:color="auto"/>
            <w:right w:val="none" w:sz="0" w:space="0" w:color="auto"/>
          </w:divBdr>
        </w:div>
        <w:div w:id="428618999">
          <w:marLeft w:val="0"/>
          <w:marRight w:val="0"/>
          <w:marTop w:val="0"/>
          <w:marBottom w:val="0"/>
          <w:divBdr>
            <w:top w:val="none" w:sz="0" w:space="0" w:color="auto"/>
            <w:left w:val="none" w:sz="0" w:space="0" w:color="auto"/>
            <w:bottom w:val="none" w:sz="0" w:space="0" w:color="auto"/>
            <w:right w:val="none" w:sz="0" w:space="0" w:color="auto"/>
          </w:divBdr>
        </w:div>
        <w:div w:id="1920021211">
          <w:marLeft w:val="0"/>
          <w:marRight w:val="0"/>
          <w:marTop w:val="0"/>
          <w:marBottom w:val="0"/>
          <w:divBdr>
            <w:top w:val="none" w:sz="0" w:space="0" w:color="auto"/>
            <w:left w:val="none" w:sz="0" w:space="0" w:color="auto"/>
            <w:bottom w:val="none" w:sz="0" w:space="0" w:color="auto"/>
            <w:right w:val="none" w:sz="0" w:space="0" w:color="auto"/>
          </w:divBdr>
        </w:div>
        <w:div w:id="542060774">
          <w:marLeft w:val="0"/>
          <w:marRight w:val="0"/>
          <w:marTop w:val="0"/>
          <w:marBottom w:val="0"/>
          <w:divBdr>
            <w:top w:val="none" w:sz="0" w:space="0" w:color="auto"/>
            <w:left w:val="none" w:sz="0" w:space="0" w:color="auto"/>
            <w:bottom w:val="none" w:sz="0" w:space="0" w:color="auto"/>
            <w:right w:val="none" w:sz="0" w:space="0" w:color="auto"/>
          </w:divBdr>
        </w:div>
        <w:div w:id="2072119110">
          <w:marLeft w:val="0"/>
          <w:marRight w:val="0"/>
          <w:marTop w:val="0"/>
          <w:marBottom w:val="0"/>
          <w:divBdr>
            <w:top w:val="none" w:sz="0" w:space="0" w:color="auto"/>
            <w:left w:val="none" w:sz="0" w:space="0" w:color="auto"/>
            <w:bottom w:val="none" w:sz="0" w:space="0" w:color="auto"/>
            <w:right w:val="none" w:sz="0" w:space="0" w:color="auto"/>
          </w:divBdr>
        </w:div>
        <w:div w:id="451828549">
          <w:marLeft w:val="0"/>
          <w:marRight w:val="0"/>
          <w:marTop w:val="0"/>
          <w:marBottom w:val="0"/>
          <w:divBdr>
            <w:top w:val="none" w:sz="0" w:space="0" w:color="auto"/>
            <w:left w:val="none" w:sz="0" w:space="0" w:color="auto"/>
            <w:bottom w:val="none" w:sz="0" w:space="0" w:color="auto"/>
            <w:right w:val="none" w:sz="0" w:space="0" w:color="auto"/>
          </w:divBdr>
        </w:div>
        <w:div w:id="474223802">
          <w:marLeft w:val="0"/>
          <w:marRight w:val="0"/>
          <w:marTop w:val="0"/>
          <w:marBottom w:val="0"/>
          <w:divBdr>
            <w:top w:val="none" w:sz="0" w:space="0" w:color="auto"/>
            <w:left w:val="none" w:sz="0" w:space="0" w:color="auto"/>
            <w:bottom w:val="none" w:sz="0" w:space="0" w:color="auto"/>
            <w:right w:val="none" w:sz="0" w:space="0" w:color="auto"/>
          </w:divBdr>
        </w:div>
      </w:divsChild>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743538">
      <w:bodyDiv w:val="1"/>
      <w:marLeft w:val="0"/>
      <w:marRight w:val="0"/>
      <w:marTop w:val="0"/>
      <w:marBottom w:val="0"/>
      <w:divBdr>
        <w:top w:val="none" w:sz="0" w:space="0" w:color="auto"/>
        <w:left w:val="none" w:sz="0" w:space="0" w:color="auto"/>
        <w:bottom w:val="none" w:sz="0" w:space="0" w:color="auto"/>
        <w:right w:val="none" w:sz="0" w:space="0" w:color="auto"/>
      </w:divBdr>
      <w:divsChild>
        <w:div w:id="1632243262">
          <w:marLeft w:val="0"/>
          <w:marRight w:val="0"/>
          <w:marTop w:val="0"/>
          <w:marBottom w:val="0"/>
          <w:divBdr>
            <w:top w:val="none" w:sz="0" w:space="0" w:color="auto"/>
            <w:left w:val="none" w:sz="0" w:space="0" w:color="auto"/>
            <w:bottom w:val="none" w:sz="0" w:space="0" w:color="auto"/>
            <w:right w:val="none" w:sz="0" w:space="0" w:color="auto"/>
          </w:divBdr>
        </w:div>
        <w:div w:id="1589734830">
          <w:marLeft w:val="0"/>
          <w:marRight w:val="0"/>
          <w:marTop w:val="0"/>
          <w:marBottom w:val="0"/>
          <w:divBdr>
            <w:top w:val="none" w:sz="0" w:space="0" w:color="auto"/>
            <w:left w:val="none" w:sz="0" w:space="0" w:color="auto"/>
            <w:bottom w:val="none" w:sz="0" w:space="0" w:color="auto"/>
            <w:right w:val="none" w:sz="0" w:space="0" w:color="auto"/>
          </w:divBdr>
        </w:div>
        <w:div w:id="1744907995">
          <w:marLeft w:val="0"/>
          <w:marRight w:val="0"/>
          <w:marTop w:val="0"/>
          <w:marBottom w:val="0"/>
          <w:divBdr>
            <w:top w:val="none" w:sz="0" w:space="0" w:color="auto"/>
            <w:left w:val="none" w:sz="0" w:space="0" w:color="auto"/>
            <w:bottom w:val="none" w:sz="0" w:space="0" w:color="auto"/>
            <w:right w:val="none" w:sz="0" w:space="0" w:color="auto"/>
          </w:divBdr>
        </w:div>
        <w:div w:id="668096947">
          <w:marLeft w:val="0"/>
          <w:marRight w:val="0"/>
          <w:marTop w:val="0"/>
          <w:marBottom w:val="0"/>
          <w:divBdr>
            <w:top w:val="none" w:sz="0" w:space="0" w:color="auto"/>
            <w:left w:val="none" w:sz="0" w:space="0" w:color="auto"/>
            <w:bottom w:val="none" w:sz="0" w:space="0" w:color="auto"/>
            <w:right w:val="none" w:sz="0" w:space="0" w:color="auto"/>
          </w:divBdr>
        </w:div>
        <w:div w:id="1465855774">
          <w:marLeft w:val="0"/>
          <w:marRight w:val="0"/>
          <w:marTop w:val="0"/>
          <w:marBottom w:val="0"/>
          <w:divBdr>
            <w:top w:val="none" w:sz="0" w:space="0" w:color="auto"/>
            <w:left w:val="none" w:sz="0" w:space="0" w:color="auto"/>
            <w:bottom w:val="none" w:sz="0" w:space="0" w:color="auto"/>
            <w:right w:val="none" w:sz="0" w:space="0" w:color="auto"/>
          </w:divBdr>
        </w:div>
        <w:div w:id="572475682">
          <w:marLeft w:val="0"/>
          <w:marRight w:val="0"/>
          <w:marTop w:val="0"/>
          <w:marBottom w:val="0"/>
          <w:divBdr>
            <w:top w:val="none" w:sz="0" w:space="0" w:color="auto"/>
            <w:left w:val="none" w:sz="0" w:space="0" w:color="auto"/>
            <w:bottom w:val="none" w:sz="0" w:space="0" w:color="auto"/>
            <w:right w:val="none" w:sz="0" w:space="0" w:color="auto"/>
          </w:divBdr>
        </w:div>
        <w:div w:id="1004433987">
          <w:marLeft w:val="0"/>
          <w:marRight w:val="0"/>
          <w:marTop w:val="0"/>
          <w:marBottom w:val="0"/>
          <w:divBdr>
            <w:top w:val="none" w:sz="0" w:space="0" w:color="auto"/>
            <w:left w:val="none" w:sz="0" w:space="0" w:color="auto"/>
            <w:bottom w:val="none" w:sz="0" w:space="0" w:color="auto"/>
            <w:right w:val="none" w:sz="0" w:space="0" w:color="auto"/>
          </w:divBdr>
        </w:div>
        <w:div w:id="213197120">
          <w:marLeft w:val="0"/>
          <w:marRight w:val="0"/>
          <w:marTop w:val="0"/>
          <w:marBottom w:val="0"/>
          <w:divBdr>
            <w:top w:val="none" w:sz="0" w:space="0" w:color="auto"/>
            <w:left w:val="none" w:sz="0" w:space="0" w:color="auto"/>
            <w:bottom w:val="none" w:sz="0" w:space="0" w:color="auto"/>
            <w:right w:val="none" w:sz="0" w:space="0" w:color="auto"/>
          </w:divBdr>
        </w:div>
        <w:div w:id="489368921">
          <w:marLeft w:val="0"/>
          <w:marRight w:val="0"/>
          <w:marTop w:val="0"/>
          <w:marBottom w:val="0"/>
          <w:divBdr>
            <w:top w:val="none" w:sz="0" w:space="0" w:color="auto"/>
            <w:left w:val="none" w:sz="0" w:space="0" w:color="auto"/>
            <w:bottom w:val="none" w:sz="0" w:space="0" w:color="auto"/>
            <w:right w:val="none" w:sz="0" w:space="0" w:color="auto"/>
          </w:divBdr>
        </w:div>
        <w:div w:id="1082487194">
          <w:marLeft w:val="0"/>
          <w:marRight w:val="0"/>
          <w:marTop w:val="0"/>
          <w:marBottom w:val="0"/>
          <w:divBdr>
            <w:top w:val="none" w:sz="0" w:space="0" w:color="auto"/>
            <w:left w:val="none" w:sz="0" w:space="0" w:color="auto"/>
            <w:bottom w:val="none" w:sz="0" w:space="0" w:color="auto"/>
            <w:right w:val="none" w:sz="0" w:space="0" w:color="auto"/>
          </w:divBdr>
        </w:div>
        <w:div w:id="1531531857">
          <w:marLeft w:val="0"/>
          <w:marRight w:val="0"/>
          <w:marTop w:val="0"/>
          <w:marBottom w:val="0"/>
          <w:divBdr>
            <w:top w:val="none" w:sz="0" w:space="0" w:color="auto"/>
            <w:left w:val="none" w:sz="0" w:space="0" w:color="auto"/>
            <w:bottom w:val="none" w:sz="0" w:space="0" w:color="auto"/>
            <w:right w:val="none" w:sz="0" w:space="0" w:color="auto"/>
          </w:divBdr>
        </w:div>
        <w:div w:id="469055086">
          <w:marLeft w:val="0"/>
          <w:marRight w:val="0"/>
          <w:marTop w:val="0"/>
          <w:marBottom w:val="0"/>
          <w:divBdr>
            <w:top w:val="none" w:sz="0" w:space="0" w:color="auto"/>
            <w:left w:val="none" w:sz="0" w:space="0" w:color="auto"/>
            <w:bottom w:val="none" w:sz="0" w:space="0" w:color="auto"/>
            <w:right w:val="none" w:sz="0" w:space="0" w:color="auto"/>
          </w:divBdr>
        </w:div>
        <w:div w:id="1042244929">
          <w:marLeft w:val="0"/>
          <w:marRight w:val="0"/>
          <w:marTop w:val="0"/>
          <w:marBottom w:val="0"/>
          <w:divBdr>
            <w:top w:val="none" w:sz="0" w:space="0" w:color="auto"/>
            <w:left w:val="none" w:sz="0" w:space="0" w:color="auto"/>
            <w:bottom w:val="none" w:sz="0" w:space="0" w:color="auto"/>
            <w:right w:val="none" w:sz="0" w:space="0" w:color="auto"/>
          </w:divBdr>
        </w:div>
        <w:div w:id="210195369">
          <w:marLeft w:val="0"/>
          <w:marRight w:val="0"/>
          <w:marTop w:val="0"/>
          <w:marBottom w:val="0"/>
          <w:divBdr>
            <w:top w:val="none" w:sz="0" w:space="0" w:color="auto"/>
            <w:left w:val="none" w:sz="0" w:space="0" w:color="auto"/>
            <w:bottom w:val="none" w:sz="0" w:space="0" w:color="auto"/>
            <w:right w:val="none" w:sz="0" w:space="0" w:color="auto"/>
          </w:divBdr>
        </w:div>
        <w:div w:id="728576518">
          <w:marLeft w:val="0"/>
          <w:marRight w:val="0"/>
          <w:marTop w:val="0"/>
          <w:marBottom w:val="0"/>
          <w:divBdr>
            <w:top w:val="none" w:sz="0" w:space="0" w:color="auto"/>
            <w:left w:val="none" w:sz="0" w:space="0" w:color="auto"/>
            <w:bottom w:val="none" w:sz="0" w:space="0" w:color="auto"/>
            <w:right w:val="none" w:sz="0" w:space="0" w:color="auto"/>
          </w:divBdr>
        </w:div>
        <w:div w:id="896206664">
          <w:marLeft w:val="0"/>
          <w:marRight w:val="0"/>
          <w:marTop w:val="0"/>
          <w:marBottom w:val="0"/>
          <w:divBdr>
            <w:top w:val="none" w:sz="0" w:space="0" w:color="auto"/>
            <w:left w:val="none" w:sz="0" w:space="0" w:color="auto"/>
            <w:bottom w:val="none" w:sz="0" w:space="0" w:color="auto"/>
            <w:right w:val="none" w:sz="0" w:space="0" w:color="auto"/>
          </w:divBdr>
        </w:div>
        <w:div w:id="1751346477">
          <w:marLeft w:val="0"/>
          <w:marRight w:val="0"/>
          <w:marTop w:val="0"/>
          <w:marBottom w:val="0"/>
          <w:divBdr>
            <w:top w:val="none" w:sz="0" w:space="0" w:color="auto"/>
            <w:left w:val="none" w:sz="0" w:space="0" w:color="auto"/>
            <w:bottom w:val="none" w:sz="0" w:space="0" w:color="auto"/>
            <w:right w:val="none" w:sz="0" w:space="0" w:color="auto"/>
          </w:divBdr>
        </w:div>
        <w:div w:id="147478373">
          <w:marLeft w:val="0"/>
          <w:marRight w:val="0"/>
          <w:marTop w:val="0"/>
          <w:marBottom w:val="0"/>
          <w:divBdr>
            <w:top w:val="none" w:sz="0" w:space="0" w:color="auto"/>
            <w:left w:val="none" w:sz="0" w:space="0" w:color="auto"/>
            <w:bottom w:val="none" w:sz="0" w:space="0" w:color="auto"/>
            <w:right w:val="none" w:sz="0" w:space="0" w:color="auto"/>
          </w:divBdr>
        </w:div>
        <w:div w:id="1591889930">
          <w:marLeft w:val="0"/>
          <w:marRight w:val="0"/>
          <w:marTop w:val="0"/>
          <w:marBottom w:val="0"/>
          <w:divBdr>
            <w:top w:val="none" w:sz="0" w:space="0" w:color="auto"/>
            <w:left w:val="none" w:sz="0" w:space="0" w:color="auto"/>
            <w:bottom w:val="none" w:sz="0" w:space="0" w:color="auto"/>
            <w:right w:val="none" w:sz="0" w:space="0" w:color="auto"/>
          </w:divBdr>
        </w:div>
        <w:div w:id="892304530">
          <w:marLeft w:val="0"/>
          <w:marRight w:val="0"/>
          <w:marTop w:val="0"/>
          <w:marBottom w:val="0"/>
          <w:divBdr>
            <w:top w:val="none" w:sz="0" w:space="0" w:color="auto"/>
            <w:left w:val="none" w:sz="0" w:space="0" w:color="auto"/>
            <w:bottom w:val="none" w:sz="0" w:space="0" w:color="auto"/>
            <w:right w:val="none" w:sz="0" w:space="0" w:color="auto"/>
          </w:divBdr>
        </w:div>
        <w:div w:id="166334561">
          <w:marLeft w:val="0"/>
          <w:marRight w:val="0"/>
          <w:marTop w:val="0"/>
          <w:marBottom w:val="0"/>
          <w:divBdr>
            <w:top w:val="none" w:sz="0" w:space="0" w:color="auto"/>
            <w:left w:val="none" w:sz="0" w:space="0" w:color="auto"/>
            <w:bottom w:val="none" w:sz="0" w:space="0" w:color="auto"/>
            <w:right w:val="none" w:sz="0" w:space="0" w:color="auto"/>
          </w:divBdr>
        </w:div>
        <w:div w:id="1815488033">
          <w:marLeft w:val="0"/>
          <w:marRight w:val="0"/>
          <w:marTop w:val="0"/>
          <w:marBottom w:val="0"/>
          <w:divBdr>
            <w:top w:val="none" w:sz="0" w:space="0" w:color="auto"/>
            <w:left w:val="none" w:sz="0" w:space="0" w:color="auto"/>
            <w:bottom w:val="none" w:sz="0" w:space="0" w:color="auto"/>
            <w:right w:val="none" w:sz="0" w:space="0" w:color="auto"/>
          </w:divBdr>
        </w:div>
        <w:div w:id="1270546784">
          <w:marLeft w:val="0"/>
          <w:marRight w:val="0"/>
          <w:marTop w:val="0"/>
          <w:marBottom w:val="0"/>
          <w:divBdr>
            <w:top w:val="none" w:sz="0" w:space="0" w:color="auto"/>
            <w:left w:val="none" w:sz="0" w:space="0" w:color="auto"/>
            <w:bottom w:val="none" w:sz="0" w:space="0" w:color="auto"/>
            <w:right w:val="none" w:sz="0" w:space="0" w:color="auto"/>
          </w:divBdr>
        </w:div>
        <w:div w:id="905261926">
          <w:marLeft w:val="0"/>
          <w:marRight w:val="0"/>
          <w:marTop w:val="0"/>
          <w:marBottom w:val="0"/>
          <w:divBdr>
            <w:top w:val="none" w:sz="0" w:space="0" w:color="auto"/>
            <w:left w:val="none" w:sz="0" w:space="0" w:color="auto"/>
            <w:bottom w:val="none" w:sz="0" w:space="0" w:color="auto"/>
            <w:right w:val="none" w:sz="0" w:space="0" w:color="auto"/>
          </w:divBdr>
        </w:div>
        <w:div w:id="1460536962">
          <w:marLeft w:val="0"/>
          <w:marRight w:val="0"/>
          <w:marTop w:val="0"/>
          <w:marBottom w:val="0"/>
          <w:divBdr>
            <w:top w:val="none" w:sz="0" w:space="0" w:color="auto"/>
            <w:left w:val="none" w:sz="0" w:space="0" w:color="auto"/>
            <w:bottom w:val="none" w:sz="0" w:space="0" w:color="auto"/>
            <w:right w:val="none" w:sz="0" w:space="0" w:color="auto"/>
          </w:divBdr>
        </w:div>
        <w:div w:id="1004286522">
          <w:marLeft w:val="0"/>
          <w:marRight w:val="0"/>
          <w:marTop w:val="0"/>
          <w:marBottom w:val="0"/>
          <w:divBdr>
            <w:top w:val="none" w:sz="0" w:space="0" w:color="auto"/>
            <w:left w:val="none" w:sz="0" w:space="0" w:color="auto"/>
            <w:bottom w:val="none" w:sz="0" w:space="0" w:color="auto"/>
            <w:right w:val="none" w:sz="0" w:space="0" w:color="auto"/>
          </w:divBdr>
        </w:div>
        <w:div w:id="1876656087">
          <w:marLeft w:val="0"/>
          <w:marRight w:val="0"/>
          <w:marTop w:val="0"/>
          <w:marBottom w:val="0"/>
          <w:divBdr>
            <w:top w:val="none" w:sz="0" w:space="0" w:color="auto"/>
            <w:left w:val="none" w:sz="0" w:space="0" w:color="auto"/>
            <w:bottom w:val="none" w:sz="0" w:space="0" w:color="auto"/>
            <w:right w:val="none" w:sz="0" w:space="0" w:color="auto"/>
          </w:divBdr>
        </w:div>
        <w:div w:id="378357827">
          <w:marLeft w:val="0"/>
          <w:marRight w:val="0"/>
          <w:marTop w:val="0"/>
          <w:marBottom w:val="0"/>
          <w:divBdr>
            <w:top w:val="none" w:sz="0" w:space="0" w:color="auto"/>
            <w:left w:val="none" w:sz="0" w:space="0" w:color="auto"/>
            <w:bottom w:val="none" w:sz="0" w:space="0" w:color="auto"/>
            <w:right w:val="none" w:sz="0" w:space="0" w:color="auto"/>
          </w:divBdr>
        </w:div>
        <w:div w:id="1655260789">
          <w:marLeft w:val="0"/>
          <w:marRight w:val="0"/>
          <w:marTop w:val="0"/>
          <w:marBottom w:val="0"/>
          <w:divBdr>
            <w:top w:val="none" w:sz="0" w:space="0" w:color="auto"/>
            <w:left w:val="none" w:sz="0" w:space="0" w:color="auto"/>
            <w:bottom w:val="none" w:sz="0" w:space="0" w:color="auto"/>
            <w:right w:val="none" w:sz="0" w:space="0" w:color="auto"/>
          </w:divBdr>
        </w:div>
        <w:div w:id="393238665">
          <w:marLeft w:val="0"/>
          <w:marRight w:val="0"/>
          <w:marTop w:val="0"/>
          <w:marBottom w:val="0"/>
          <w:divBdr>
            <w:top w:val="none" w:sz="0" w:space="0" w:color="auto"/>
            <w:left w:val="none" w:sz="0" w:space="0" w:color="auto"/>
            <w:bottom w:val="none" w:sz="0" w:space="0" w:color="auto"/>
            <w:right w:val="none" w:sz="0" w:space="0" w:color="auto"/>
          </w:divBdr>
        </w:div>
        <w:div w:id="596869031">
          <w:marLeft w:val="0"/>
          <w:marRight w:val="0"/>
          <w:marTop w:val="0"/>
          <w:marBottom w:val="0"/>
          <w:divBdr>
            <w:top w:val="none" w:sz="0" w:space="0" w:color="auto"/>
            <w:left w:val="none" w:sz="0" w:space="0" w:color="auto"/>
            <w:bottom w:val="none" w:sz="0" w:space="0" w:color="auto"/>
            <w:right w:val="none" w:sz="0" w:space="0" w:color="auto"/>
          </w:divBdr>
        </w:div>
        <w:div w:id="1676498785">
          <w:marLeft w:val="0"/>
          <w:marRight w:val="0"/>
          <w:marTop w:val="0"/>
          <w:marBottom w:val="0"/>
          <w:divBdr>
            <w:top w:val="none" w:sz="0" w:space="0" w:color="auto"/>
            <w:left w:val="none" w:sz="0" w:space="0" w:color="auto"/>
            <w:bottom w:val="none" w:sz="0" w:space="0" w:color="auto"/>
            <w:right w:val="none" w:sz="0" w:space="0" w:color="auto"/>
          </w:divBdr>
        </w:div>
        <w:div w:id="1272279461">
          <w:marLeft w:val="0"/>
          <w:marRight w:val="0"/>
          <w:marTop w:val="0"/>
          <w:marBottom w:val="0"/>
          <w:divBdr>
            <w:top w:val="none" w:sz="0" w:space="0" w:color="auto"/>
            <w:left w:val="none" w:sz="0" w:space="0" w:color="auto"/>
            <w:bottom w:val="none" w:sz="0" w:space="0" w:color="auto"/>
            <w:right w:val="none" w:sz="0" w:space="0" w:color="auto"/>
          </w:divBdr>
        </w:div>
        <w:div w:id="2015719763">
          <w:marLeft w:val="0"/>
          <w:marRight w:val="0"/>
          <w:marTop w:val="0"/>
          <w:marBottom w:val="0"/>
          <w:divBdr>
            <w:top w:val="none" w:sz="0" w:space="0" w:color="auto"/>
            <w:left w:val="none" w:sz="0" w:space="0" w:color="auto"/>
            <w:bottom w:val="none" w:sz="0" w:space="0" w:color="auto"/>
            <w:right w:val="none" w:sz="0" w:space="0" w:color="auto"/>
          </w:divBdr>
        </w:div>
        <w:div w:id="458425404">
          <w:marLeft w:val="0"/>
          <w:marRight w:val="0"/>
          <w:marTop w:val="0"/>
          <w:marBottom w:val="0"/>
          <w:divBdr>
            <w:top w:val="none" w:sz="0" w:space="0" w:color="auto"/>
            <w:left w:val="none" w:sz="0" w:space="0" w:color="auto"/>
            <w:bottom w:val="none" w:sz="0" w:space="0" w:color="auto"/>
            <w:right w:val="none" w:sz="0" w:space="0" w:color="auto"/>
          </w:divBdr>
        </w:div>
        <w:div w:id="1817184397">
          <w:marLeft w:val="0"/>
          <w:marRight w:val="0"/>
          <w:marTop w:val="0"/>
          <w:marBottom w:val="0"/>
          <w:divBdr>
            <w:top w:val="none" w:sz="0" w:space="0" w:color="auto"/>
            <w:left w:val="none" w:sz="0" w:space="0" w:color="auto"/>
            <w:bottom w:val="none" w:sz="0" w:space="0" w:color="auto"/>
            <w:right w:val="none" w:sz="0" w:space="0" w:color="auto"/>
          </w:divBdr>
        </w:div>
        <w:div w:id="411397310">
          <w:marLeft w:val="0"/>
          <w:marRight w:val="0"/>
          <w:marTop w:val="0"/>
          <w:marBottom w:val="0"/>
          <w:divBdr>
            <w:top w:val="none" w:sz="0" w:space="0" w:color="auto"/>
            <w:left w:val="none" w:sz="0" w:space="0" w:color="auto"/>
            <w:bottom w:val="none" w:sz="0" w:space="0" w:color="auto"/>
            <w:right w:val="none" w:sz="0" w:space="0" w:color="auto"/>
          </w:divBdr>
        </w:div>
        <w:div w:id="1620915107">
          <w:marLeft w:val="0"/>
          <w:marRight w:val="0"/>
          <w:marTop w:val="0"/>
          <w:marBottom w:val="0"/>
          <w:divBdr>
            <w:top w:val="none" w:sz="0" w:space="0" w:color="auto"/>
            <w:left w:val="none" w:sz="0" w:space="0" w:color="auto"/>
            <w:bottom w:val="none" w:sz="0" w:space="0" w:color="auto"/>
            <w:right w:val="none" w:sz="0" w:space="0" w:color="auto"/>
          </w:divBdr>
        </w:div>
        <w:div w:id="2094430636">
          <w:marLeft w:val="0"/>
          <w:marRight w:val="0"/>
          <w:marTop w:val="0"/>
          <w:marBottom w:val="0"/>
          <w:divBdr>
            <w:top w:val="none" w:sz="0" w:space="0" w:color="auto"/>
            <w:left w:val="none" w:sz="0" w:space="0" w:color="auto"/>
            <w:bottom w:val="none" w:sz="0" w:space="0" w:color="auto"/>
            <w:right w:val="none" w:sz="0" w:space="0" w:color="auto"/>
          </w:divBdr>
        </w:div>
      </w:divsChild>
    </w:div>
    <w:div w:id="978805747">
      <w:bodyDiv w:val="1"/>
      <w:marLeft w:val="0"/>
      <w:marRight w:val="0"/>
      <w:marTop w:val="0"/>
      <w:marBottom w:val="0"/>
      <w:divBdr>
        <w:top w:val="none" w:sz="0" w:space="0" w:color="auto"/>
        <w:left w:val="none" w:sz="0" w:space="0" w:color="auto"/>
        <w:bottom w:val="none" w:sz="0" w:space="0" w:color="auto"/>
        <w:right w:val="none" w:sz="0" w:space="0" w:color="auto"/>
      </w:divBdr>
    </w:div>
    <w:div w:id="1266571391">
      <w:bodyDiv w:val="1"/>
      <w:marLeft w:val="0"/>
      <w:marRight w:val="0"/>
      <w:marTop w:val="0"/>
      <w:marBottom w:val="0"/>
      <w:divBdr>
        <w:top w:val="none" w:sz="0" w:space="0" w:color="auto"/>
        <w:left w:val="none" w:sz="0" w:space="0" w:color="auto"/>
        <w:bottom w:val="none" w:sz="0" w:space="0" w:color="auto"/>
        <w:right w:val="none" w:sz="0" w:space="0" w:color="auto"/>
      </w:divBdr>
      <w:divsChild>
        <w:div w:id="1554731797">
          <w:marLeft w:val="0"/>
          <w:marRight w:val="0"/>
          <w:marTop w:val="0"/>
          <w:marBottom w:val="0"/>
          <w:divBdr>
            <w:top w:val="none" w:sz="0" w:space="0" w:color="auto"/>
            <w:left w:val="none" w:sz="0" w:space="0" w:color="auto"/>
            <w:bottom w:val="none" w:sz="0" w:space="0" w:color="auto"/>
            <w:right w:val="none" w:sz="0" w:space="0" w:color="auto"/>
          </w:divBdr>
          <w:divsChild>
            <w:div w:id="1123311578">
              <w:marLeft w:val="0"/>
              <w:marRight w:val="0"/>
              <w:marTop w:val="0"/>
              <w:marBottom w:val="0"/>
              <w:divBdr>
                <w:top w:val="none" w:sz="0" w:space="0" w:color="auto"/>
                <w:left w:val="none" w:sz="0" w:space="0" w:color="auto"/>
                <w:bottom w:val="none" w:sz="0" w:space="0" w:color="auto"/>
                <w:right w:val="none" w:sz="0" w:space="0" w:color="auto"/>
              </w:divBdr>
              <w:divsChild>
                <w:div w:id="1164396949">
                  <w:marLeft w:val="0"/>
                  <w:marRight w:val="150"/>
                  <w:marTop w:val="0"/>
                  <w:marBottom w:val="0"/>
                  <w:divBdr>
                    <w:top w:val="none" w:sz="0" w:space="0" w:color="auto"/>
                    <w:left w:val="none" w:sz="0" w:space="0" w:color="auto"/>
                    <w:bottom w:val="none" w:sz="0" w:space="0" w:color="auto"/>
                    <w:right w:val="none" w:sz="0" w:space="0" w:color="auto"/>
                  </w:divBdr>
                  <w:divsChild>
                    <w:div w:id="126164919">
                      <w:marLeft w:val="0"/>
                      <w:marRight w:val="150"/>
                      <w:marTop w:val="0"/>
                      <w:marBottom w:val="0"/>
                      <w:divBdr>
                        <w:top w:val="none" w:sz="0" w:space="0" w:color="auto"/>
                        <w:left w:val="none" w:sz="0" w:space="0" w:color="auto"/>
                        <w:bottom w:val="none" w:sz="0" w:space="0" w:color="auto"/>
                        <w:right w:val="none" w:sz="0" w:space="0" w:color="auto"/>
                      </w:divBdr>
                    </w:div>
                  </w:divsChild>
                </w:div>
                <w:div w:id="851147597">
                  <w:marLeft w:val="0"/>
                  <w:marRight w:val="150"/>
                  <w:marTop w:val="0"/>
                  <w:marBottom w:val="0"/>
                  <w:divBdr>
                    <w:top w:val="none" w:sz="0" w:space="0" w:color="auto"/>
                    <w:left w:val="none" w:sz="0" w:space="0" w:color="auto"/>
                    <w:bottom w:val="none" w:sz="0" w:space="0" w:color="auto"/>
                    <w:right w:val="none" w:sz="0" w:space="0" w:color="auto"/>
                  </w:divBdr>
                  <w:divsChild>
                    <w:div w:id="2122844989">
                      <w:marLeft w:val="0"/>
                      <w:marRight w:val="150"/>
                      <w:marTop w:val="0"/>
                      <w:marBottom w:val="0"/>
                      <w:divBdr>
                        <w:top w:val="none" w:sz="0" w:space="0" w:color="auto"/>
                        <w:left w:val="none" w:sz="0" w:space="0" w:color="auto"/>
                        <w:bottom w:val="none" w:sz="0" w:space="0" w:color="auto"/>
                        <w:right w:val="none" w:sz="0" w:space="0" w:color="auto"/>
                      </w:divBdr>
                    </w:div>
                  </w:divsChild>
                </w:div>
                <w:div w:id="1886137317">
                  <w:marLeft w:val="0"/>
                  <w:marRight w:val="150"/>
                  <w:marTop w:val="0"/>
                  <w:marBottom w:val="0"/>
                  <w:divBdr>
                    <w:top w:val="none" w:sz="0" w:space="0" w:color="auto"/>
                    <w:left w:val="none" w:sz="0" w:space="0" w:color="auto"/>
                    <w:bottom w:val="none" w:sz="0" w:space="0" w:color="auto"/>
                    <w:right w:val="none" w:sz="0" w:space="0" w:color="auto"/>
                  </w:divBdr>
                  <w:divsChild>
                    <w:div w:id="1499270244">
                      <w:marLeft w:val="0"/>
                      <w:marRight w:val="150"/>
                      <w:marTop w:val="0"/>
                      <w:marBottom w:val="0"/>
                      <w:divBdr>
                        <w:top w:val="none" w:sz="0" w:space="0" w:color="auto"/>
                        <w:left w:val="none" w:sz="0" w:space="0" w:color="auto"/>
                        <w:bottom w:val="none" w:sz="0" w:space="0" w:color="auto"/>
                        <w:right w:val="none" w:sz="0" w:space="0" w:color="auto"/>
                      </w:divBdr>
                    </w:div>
                  </w:divsChild>
                </w:div>
                <w:div w:id="302200552">
                  <w:marLeft w:val="0"/>
                  <w:marRight w:val="150"/>
                  <w:marTop w:val="0"/>
                  <w:marBottom w:val="0"/>
                  <w:divBdr>
                    <w:top w:val="none" w:sz="0" w:space="0" w:color="auto"/>
                    <w:left w:val="none" w:sz="0" w:space="0" w:color="auto"/>
                    <w:bottom w:val="none" w:sz="0" w:space="0" w:color="auto"/>
                    <w:right w:val="none" w:sz="0" w:space="0" w:color="auto"/>
                  </w:divBdr>
                  <w:divsChild>
                    <w:div w:id="81997981">
                      <w:marLeft w:val="0"/>
                      <w:marRight w:val="150"/>
                      <w:marTop w:val="0"/>
                      <w:marBottom w:val="0"/>
                      <w:divBdr>
                        <w:top w:val="none" w:sz="0" w:space="0" w:color="auto"/>
                        <w:left w:val="none" w:sz="0" w:space="0" w:color="auto"/>
                        <w:bottom w:val="none" w:sz="0" w:space="0" w:color="auto"/>
                        <w:right w:val="none" w:sz="0" w:space="0" w:color="auto"/>
                      </w:divBdr>
                    </w:div>
                  </w:divsChild>
                </w:div>
                <w:div w:id="1497957810">
                  <w:marLeft w:val="0"/>
                  <w:marRight w:val="150"/>
                  <w:marTop w:val="0"/>
                  <w:marBottom w:val="0"/>
                  <w:divBdr>
                    <w:top w:val="none" w:sz="0" w:space="0" w:color="auto"/>
                    <w:left w:val="none" w:sz="0" w:space="0" w:color="auto"/>
                    <w:bottom w:val="none" w:sz="0" w:space="0" w:color="auto"/>
                    <w:right w:val="none" w:sz="0" w:space="0" w:color="auto"/>
                  </w:divBdr>
                  <w:divsChild>
                    <w:div w:id="130707056">
                      <w:marLeft w:val="0"/>
                      <w:marRight w:val="150"/>
                      <w:marTop w:val="0"/>
                      <w:marBottom w:val="0"/>
                      <w:divBdr>
                        <w:top w:val="none" w:sz="0" w:space="0" w:color="auto"/>
                        <w:left w:val="none" w:sz="0" w:space="0" w:color="auto"/>
                        <w:bottom w:val="none" w:sz="0" w:space="0" w:color="auto"/>
                        <w:right w:val="none" w:sz="0" w:space="0" w:color="auto"/>
                      </w:divBdr>
                    </w:div>
                  </w:divsChild>
                </w:div>
                <w:div w:id="1814980482">
                  <w:marLeft w:val="0"/>
                  <w:marRight w:val="150"/>
                  <w:marTop w:val="0"/>
                  <w:marBottom w:val="0"/>
                  <w:divBdr>
                    <w:top w:val="none" w:sz="0" w:space="0" w:color="auto"/>
                    <w:left w:val="none" w:sz="0" w:space="0" w:color="auto"/>
                    <w:bottom w:val="none" w:sz="0" w:space="0" w:color="auto"/>
                    <w:right w:val="none" w:sz="0" w:space="0" w:color="auto"/>
                  </w:divBdr>
                  <w:divsChild>
                    <w:div w:id="355624646">
                      <w:marLeft w:val="0"/>
                      <w:marRight w:val="150"/>
                      <w:marTop w:val="0"/>
                      <w:marBottom w:val="0"/>
                      <w:divBdr>
                        <w:top w:val="none" w:sz="0" w:space="0" w:color="auto"/>
                        <w:left w:val="none" w:sz="0" w:space="0" w:color="auto"/>
                        <w:bottom w:val="none" w:sz="0" w:space="0" w:color="auto"/>
                        <w:right w:val="none" w:sz="0" w:space="0" w:color="auto"/>
                      </w:divBdr>
                    </w:div>
                  </w:divsChild>
                </w:div>
                <w:div w:id="18510370">
                  <w:marLeft w:val="0"/>
                  <w:marRight w:val="150"/>
                  <w:marTop w:val="0"/>
                  <w:marBottom w:val="0"/>
                  <w:divBdr>
                    <w:top w:val="none" w:sz="0" w:space="0" w:color="auto"/>
                    <w:left w:val="none" w:sz="0" w:space="0" w:color="auto"/>
                    <w:bottom w:val="none" w:sz="0" w:space="0" w:color="auto"/>
                    <w:right w:val="none" w:sz="0" w:space="0" w:color="auto"/>
                  </w:divBdr>
                  <w:divsChild>
                    <w:div w:id="396904176">
                      <w:marLeft w:val="0"/>
                      <w:marRight w:val="150"/>
                      <w:marTop w:val="0"/>
                      <w:marBottom w:val="0"/>
                      <w:divBdr>
                        <w:top w:val="none" w:sz="0" w:space="0" w:color="auto"/>
                        <w:left w:val="none" w:sz="0" w:space="0" w:color="auto"/>
                        <w:bottom w:val="none" w:sz="0" w:space="0" w:color="auto"/>
                        <w:right w:val="none" w:sz="0" w:space="0" w:color="auto"/>
                      </w:divBdr>
                    </w:div>
                  </w:divsChild>
                </w:div>
                <w:div w:id="1876381089">
                  <w:marLeft w:val="0"/>
                  <w:marRight w:val="150"/>
                  <w:marTop w:val="0"/>
                  <w:marBottom w:val="0"/>
                  <w:divBdr>
                    <w:top w:val="none" w:sz="0" w:space="0" w:color="auto"/>
                    <w:left w:val="none" w:sz="0" w:space="0" w:color="auto"/>
                    <w:bottom w:val="none" w:sz="0" w:space="0" w:color="auto"/>
                    <w:right w:val="none" w:sz="0" w:space="0" w:color="auto"/>
                  </w:divBdr>
                  <w:divsChild>
                    <w:div w:id="6473939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73365791">
          <w:marLeft w:val="0"/>
          <w:marRight w:val="0"/>
          <w:marTop w:val="0"/>
          <w:marBottom w:val="0"/>
          <w:divBdr>
            <w:top w:val="none" w:sz="0" w:space="0" w:color="auto"/>
            <w:left w:val="none" w:sz="0" w:space="0" w:color="auto"/>
            <w:bottom w:val="none" w:sz="0" w:space="0" w:color="auto"/>
            <w:right w:val="none" w:sz="0" w:space="0" w:color="auto"/>
          </w:divBdr>
        </w:div>
        <w:div w:id="977883116">
          <w:marLeft w:val="0"/>
          <w:marRight w:val="0"/>
          <w:marTop w:val="0"/>
          <w:marBottom w:val="0"/>
          <w:divBdr>
            <w:top w:val="none" w:sz="0" w:space="0" w:color="auto"/>
            <w:left w:val="none" w:sz="0" w:space="0" w:color="auto"/>
            <w:bottom w:val="none" w:sz="0" w:space="0" w:color="auto"/>
            <w:right w:val="none" w:sz="0" w:space="0" w:color="auto"/>
          </w:divBdr>
        </w:div>
        <w:div w:id="663169864">
          <w:marLeft w:val="0"/>
          <w:marRight w:val="0"/>
          <w:marTop w:val="0"/>
          <w:marBottom w:val="0"/>
          <w:divBdr>
            <w:top w:val="none" w:sz="0" w:space="0" w:color="auto"/>
            <w:left w:val="none" w:sz="0" w:space="0" w:color="auto"/>
            <w:bottom w:val="none" w:sz="0" w:space="0" w:color="auto"/>
            <w:right w:val="none" w:sz="0" w:space="0" w:color="auto"/>
          </w:divBdr>
        </w:div>
        <w:div w:id="1928229693">
          <w:marLeft w:val="0"/>
          <w:marRight w:val="0"/>
          <w:marTop w:val="0"/>
          <w:marBottom w:val="0"/>
          <w:divBdr>
            <w:top w:val="none" w:sz="0" w:space="0" w:color="auto"/>
            <w:left w:val="none" w:sz="0" w:space="0" w:color="auto"/>
            <w:bottom w:val="none" w:sz="0" w:space="0" w:color="auto"/>
            <w:right w:val="none" w:sz="0" w:space="0" w:color="auto"/>
          </w:divBdr>
        </w:div>
        <w:div w:id="678891733">
          <w:marLeft w:val="0"/>
          <w:marRight w:val="0"/>
          <w:marTop w:val="0"/>
          <w:marBottom w:val="0"/>
          <w:divBdr>
            <w:top w:val="none" w:sz="0" w:space="0" w:color="auto"/>
            <w:left w:val="none" w:sz="0" w:space="0" w:color="auto"/>
            <w:bottom w:val="none" w:sz="0" w:space="0" w:color="auto"/>
            <w:right w:val="none" w:sz="0" w:space="0" w:color="auto"/>
          </w:divBdr>
        </w:div>
        <w:div w:id="971053981">
          <w:marLeft w:val="0"/>
          <w:marRight w:val="0"/>
          <w:marTop w:val="0"/>
          <w:marBottom w:val="0"/>
          <w:divBdr>
            <w:top w:val="none" w:sz="0" w:space="0" w:color="auto"/>
            <w:left w:val="none" w:sz="0" w:space="0" w:color="auto"/>
            <w:bottom w:val="none" w:sz="0" w:space="0" w:color="auto"/>
            <w:right w:val="none" w:sz="0" w:space="0" w:color="auto"/>
          </w:divBdr>
        </w:div>
        <w:div w:id="1991011584">
          <w:marLeft w:val="0"/>
          <w:marRight w:val="0"/>
          <w:marTop w:val="0"/>
          <w:marBottom w:val="0"/>
          <w:divBdr>
            <w:top w:val="none" w:sz="0" w:space="0" w:color="auto"/>
            <w:left w:val="none" w:sz="0" w:space="0" w:color="auto"/>
            <w:bottom w:val="none" w:sz="0" w:space="0" w:color="auto"/>
            <w:right w:val="none" w:sz="0" w:space="0" w:color="auto"/>
          </w:divBdr>
        </w:div>
        <w:div w:id="1046374569">
          <w:marLeft w:val="0"/>
          <w:marRight w:val="0"/>
          <w:marTop w:val="0"/>
          <w:marBottom w:val="0"/>
          <w:divBdr>
            <w:top w:val="none" w:sz="0" w:space="0" w:color="auto"/>
            <w:left w:val="none" w:sz="0" w:space="0" w:color="auto"/>
            <w:bottom w:val="none" w:sz="0" w:space="0" w:color="auto"/>
            <w:right w:val="none" w:sz="0" w:space="0" w:color="auto"/>
          </w:divBdr>
        </w:div>
        <w:div w:id="1257208202">
          <w:marLeft w:val="0"/>
          <w:marRight w:val="0"/>
          <w:marTop w:val="0"/>
          <w:marBottom w:val="0"/>
          <w:divBdr>
            <w:top w:val="none" w:sz="0" w:space="0" w:color="auto"/>
            <w:left w:val="none" w:sz="0" w:space="0" w:color="auto"/>
            <w:bottom w:val="none" w:sz="0" w:space="0" w:color="auto"/>
            <w:right w:val="none" w:sz="0" w:space="0" w:color="auto"/>
          </w:divBdr>
        </w:div>
        <w:div w:id="1318612952">
          <w:marLeft w:val="0"/>
          <w:marRight w:val="0"/>
          <w:marTop w:val="0"/>
          <w:marBottom w:val="0"/>
          <w:divBdr>
            <w:top w:val="none" w:sz="0" w:space="0" w:color="auto"/>
            <w:left w:val="none" w:sz="0" w:space="0" w:color="auto"/>
            <w:bottom w:val="none" w:sz="0" w:space="0" w:color="auto"/>
            <w:right w:val="none" w:sz="0" w:space="0" w:color="auto"/>
          </w:divBdr>
        </w:div>
        <w:div w:id="1657761530">
          <w:marLeft w:val="0"/>
          <w:marRight w:val="0"/>
          <w:marTop w:val="0"/>
          <w:marBottom w:val="0"/>
          <w:divBdr>
            <w:top w:val="none" w:sz="0" w:space="0" w:color="auto"/>
            <w:left w:val="none" w:sz="0" w:space="0" w:color="auto"/>
            <w:bottom w:val="none" w:sz="0" w:space="0" w:color="auto"/>
            <w:right w:val="none" w:sz="0" w:space="0" w:color="auto"/>
          </w:divBdr>
        </w:div>
        <w:div w:id="670642365">
          <w:marLeft w:val="0"/>
          <w:marRight w:val="0"/>
          <w:marTop w:val="0"/>
          <w:marBottom w:val="0"/>
          <w:divBdr>
            <w:top w:val="none" w:sz="0" w:space="0" w:color="auto"/>
            <w:left w:val="none" w:sz="0" w:space="0" w:color="auto"/>
            <w:bottom w:val="none" w:sz="0" w:space="0" w:color="auto"/>
            <w:right w:val="none" w:sz="0" w:space="0" w:color="auto"/>
          </w:divBdr>
        </w:div>
        <w:div w:id="1461997288">
          <w:marLeft w:val="0"/>
          <w:marRight w:val="0"/>
          <w:marTop w:val="0"/>
          <w:marBottom w:val="0"/>
          <w:divBdr>
            <w:top w:val="none" w:sz="0" w:space="0" w:color="auto"/>
            <w:left w:val="none" w:sz="0" w:space="0" w:color="auto"/>
            <w:bottom w:val="none" w:sz="0" w:space="0" w:color="auto"/>
            <w:right w:val="none" w:sz="0" w:space="0" w:color="auto"/>
          </w:divBdr>
        </w:div>
        <w:div w:id="1237396934">
          <w:marLeft w:val="0"/>
          <w:marRight w:val="0"/>
          <w:marTop w:val="0"/>
          <w:marBottom w:val="0"/>
          <w:divBdr>
            <w:top w:val="none" w:sz="0" w:space="0" w:color="auto"/>
            <w:left w:val="none" w:sz="0" w:space="0" w:color="auto"/>
            <w:bottom w:val="none" w:sz="0" w:space="0" w:color="auto"/>
            <w:right w:val="none" w:sz="0" w:space="0" w:color="auto"/>
          </w:divBdr>
        </w:div>
        <w:div w:id="196898562">
          <w:marLeft w:val="0"/>
          <w:marRight w:val="0"/>
          <w:marTop w:val="0"/>
          <w:marBottom w:val="0"/>
          <w:divBdr>
            <w:top w:val="none" w:sz="0" w:space="0" w:color="auto"/>
            <w:left w:val="none" w:sz="0" w:space="0" w:color="auto"/>
            <w:bottom w:val="none" w:sz="0" w:space="0" w:color="auto"/>
            <w:right w:val="none" w:sz="0" w:space="0" w:color="auto"/>
          </w:divBdr>
        </w:div>
        <w:div w:id="1141965792">
          <w:marLeft w:val="0"/>
          <w:marRight w:val="0"/>
          <w:marTop w:val="0"/>
          <w:marBottom w:val="0"/>
          <w:divBdr>
            <w:top w:val="none" w:sz="0" w:space="0" w:color="auto"/>
            <w:left w:val="none" w:sz="0" w:space="0" w:color="auto"/>
            <w:bottom w:val="none" w:sz="0" w:space="0" w:color="auto"/>
            <w:right w:val="none" w:sz="0" w:space="0" w:color="auto"/>
          </w:divBdr>
        </w:div>
        <w:div w:id="965310578">
          <w:marLeft w:val="0"/>
          <w:marRight w:val="0"/>
          <w:marTop w:val="0"/>
          <w:marBottom w:val="0"/>
          <w:divBdr>
            <w:top w:val="none" w:sz="0" w:space="0" w:color="auto"/>
            <w:left w:val="none" w:sz="0" w:space="0" w:color="auto"/>
            <w:bottom w:val="none" w:sz="0" w:space="0" w:color="auto"/>
            <w:right w:val="none" w:sz="0" w:space="0" w:color="auto"/>
          </w:divBdr>
        </w:div>
        <w:div w:id="1531145751">
          <w:marLeft w:val="0"/>
          <w:marRight w:val="0"/>
          <w:marTop w:val="0"/>
          <w:marBottom w:val="0"/>
          <w:divBdr>
            <w:top w:val="none" w:sz="0" w:space="0" w:color="auto"/>
            <w:left w:val="none" w:sz="0" w:space="0" w:color="auto"/>
            <w:bottom w:val="none" w:sz="0" w:space="0" w:color="auto"/>
            <w:right w:val="none" w:sz="0" w:space="0" w:color="auto"/>
          </w:divBdr>
        </w:div>
        <w:div w:id="316148937">
          <w:marLeft w:val="0"/>
          <w:marRight w:val="0"/>
          <w:marTop w:val="0"/>
          <w:marBottom w:val="0"/>
          <w:divBdr>
            <w:top w:val="none" w:sz="0" w:space="0" w:color="auto"/>
            <w:left w:val="none" w:sz="0" w:space="0" w:color="auto"/>
            <w:bottom w:val="none" w:sz="0" w:space="0" w:color="auto"/>
            <w:right w:val="none" w:sz="0" w:space="0" w:color="auto"/>
          </w:divBdr>
        </w:div>
        <w:div w:id="169566080">
          <w:marLeft w:val="0"/>
          <w:marRight w:val="0"/>
          <w:marTop w:val="0"/>
          <w:marBottom w:val="0"/>
          <w:divBdr>
            <w:top w:val="none" w:sz="0" w:space="0" w:color="auto"/>
            <w:left w:val="none" w:sz="0" w:space="0" w:color="auto"/>
            <w:bottom w:val="none" w:sz="0" w:space="0" w:color="auto"/>
            <w:right w:val="none" w:sz="0" w:space="0" w:color="auto"/>
          </w:divBdr>
        </w:div>
        <w:div w:id="1569266431">
          <w:marLeft w:val="0"/>
          <w:marRight w:val="0"/>
          <w:marTop w:val="0"/>
          <w:marBottom w:val="0"/>
          <w:divBdr>
            <w:top w:val="none" w:sz="0" w:space="0" w:color="auto"/>
            <w:left w:val="none" w:sz="0" w:space="0" w:color="auto"/>
            <w:bottom w:val="none" w:sz="0" w:space="0" w:color="auto"/>
            <w:right w:val="none" w:sz="0" w:space="0" w:color="auto"/>
          </w:divBdr>
        </w:div>
        <w:div w:id="966818042">
          <w:marLeft w:val="0"/>
          <w:marRight w:val="0"/>
          <w:marTop w:val="0"/>
          <w:marBottom w:val="0"/>
          <w:divBdr>
            <w:top w:val="none" w:sz="0" w:space="0" w:color="auto"/>
            <w:left w:val="none" w:sz="0" w:space="0" w:color="auto"/>
            <w:bottom w:val="none" w:sz="0" w:space="0" w:color="auto"/>
            <w:right w:val="none" w:sz="0" w:space="0" w:color="auto"/>
          </w:divBdr>
        </w:div>
        <w:div w:id="893079144">
          <w:marLeft w:val="0"/>
          <w:marRight w:val="0"/>
          <w:marTop w:val="0"/>
          <w:marBottom w:val="0"/>
          <w:divBdr>
            <w:top w:val="none" w:sz="0" w:space="0" w:color="auto"/>
            <w:left w:val="none" w:sz="0" w:space="0" w:color="auto"/>
            <w:bottom w:val="none" w:sz="0" w:space="0" w:color="auto"/>
            <w:right w:val="none" w:sz="0" w:space="0" w:color="auto"/>
          </w:divBdr>
        </w:div>
        <w:div w:id="489292889">
          <w:marLeft w:val="0"/>
          <w:marRight w:val="0"/>
          <w:marTop w:val="0"/>
          <w:marBottom w:val="0"/>
          <w:divBdr>
            <w:top w:val="none" w:sz="0" w:space="0" w:color="auto"/>
            <w:left w:val="none" w:sz="0" w:space="0" w:color="auto"/>
            <w:bottom w:val="none" w:sz="0" w:space="0" w:color="auto"/>
            <w:right w:val="none" w:sz="0" w:space="0" w:color="auto"/>
          </w:divBdr>
        </w:div>
        <w:div w:id="1235044778">
          <w:marLeft w:val="0"/>
          <w:marRight w:val="0"/>
          <w:marTop w:val="0"/>
          <w:marBottom w:val="0"/>
          <w:divBdr>
            <w:top w:val="none" w:sz="0" w:space="0" w:color="auto"/>
            <w:left w:val="none" w:sz="0" w:space="0" w:color="auto"/>
            <w:bottom w:val="none" w:sz="0" w:space="0" w:color="auto"/>
            <w:right w:val="none" w:sz="0" w:space="0" w:color="auto"/>
          </w:divBdr>
        </w:div>
        <w:div w:id="454106711">
          <w:marLeft w:val="0"/>
          <w:marRight w:val="0"/>
          <w:marTop w:val="0"/>
          <w:marBottom w:val="0"/>
          <w:divBdr>
            <w:top w:val="none" w:sz="0" w:space="0" w:color="auto"/>
            <w:left w:val="none" w:sz="0" w:space="0" w:color="auto"/>
            <w:bottom w:val="none" w:sz="0" w:space="0" w:color="auto"/>
            <w:right w:val="none" w:sz="0" w:space="0" w:color="auto"/>
          </w:divBdr>
        </w:div>
        <w:div w:id="2109082458">
          <w:marLeft w:val="0"/>
          <w:marRight w:val="0"/>
          <w:marTop w:val="0"/>
          <w:marBottom w:val="0"/>
          <w:divBdr>
            <w:top w:val="none" w:sz="0" w:space="0" w:color="auto"/>
            <w:left w:val="none" w:sz="0" w:space="0" w:color="auto"/>
            <w:bottom w:val="none" w:sz="0" w:space="0" w:color="auto"/>
            <w:right w:val="none" w:sz="0" w:space="0" w:color="auto"/>
          </w:divBdr>
        </w:div>
        <w:div w:id="383987134">
          <w:marLeft w:val="0"/>
          <w:marRight w:val="0"/>
          <w:marTop w:val="0"/>
          <w:marBottom w:val="0"/>
          <w:divBdr>
            <w:top w:val="none" w:sz="0" w:space="0" w:color="auto"/>
            <w:left w:val="none" w:sz="0" w:space="0" w:color="auto"/>
            <w:bottom w:val="none" w:sz="0" w:space="0" w:color="auto"/>
            <w:right w:val="none" w:sz="0" w:space="0" w:color="auto"/>
          </w:divBdr>
        </w:div>
        <w:div w:id="1667123799">
          <w:marLeft w:val="0"/>
          <w:marRight w:val="0"/>
          <w:marTop w:val="0"/>
          <w:marBottom w:val="0"/>
          <w:divBdr>
            <w:top w:val="none" w:sz="0" w:space="0" w:color="auto"/>
            <w:left w:val="none" w:sz="0" w:space="0" w:color="auto"/>
            <w:bottom w:val="none" w:sz="0" w:space="0" w:color="auto"/>
            <w:right w:val="none" w:sz="0" w:space="0" w:color="auto"/>
          </w:divBdr>
        </w:div>
        <w:div w:id="63534152">
          <w:marLeft w:val="0"/>
          <w:marRight w:val="0"/>
          <w:marTop w:val="0"/>
          <w:marBottom w:val="0"/>
          <w:divBdr>
            <w:top w:val="none" w:sz="0" w:space="0" w:color="auto"/>
            <w:left w:val="none" w:sz="0" w:space="0" w:color="auto"/>
            <w:bottom w:val="none" w:sz="0" w:space="0" w:color="auto"/>
            <w:right w:val="none" w:sz="0" w:space="0" w:color="auto"/>
          </w:divBdr>
        </w:div>
        <w:div w:id="241525356">
          <w:marLeft w:val="0"/>
          <w:marRight w:val="0"/>
          <w:marTop w:val="0"/>
          <w:marBottom w:val="0"/>
          <w:divBdr>
            <w:top w:val="none" w:sz="0" w:space="0" w:color="auto"/>
            <w:left w:val="none" w:sz="0" w:space="0" w:color="auto"/>
            <w:bottom w:val="none" w:sz="0" w:space="0" w:color="auto"/>
            <w:right w:val="none" w:sz="0" w:space="0" w:color="auto"/>
          </w:divBdr>
        </w:div>
        <w:div w:id="1734574028">
          <w:marLeft w:val="0"/>
          <w:marRight w:val="0"/>
          <w:marTop w:val="0"/>
          <w:marBottom w:val="0"/>
          <w:divBdr>
            <w:top w:val="none" w:sz="0" w:space="0" w:color="auto"/>
            <w:left w:val="none" w:sz="0" w:space="0" w:color="auto"/>
            <w:bottom w:val="none" w:sz="0" w:space="0" w:color="auto"/>
            <w:right w:val="none" w:sz="0" w:space="0" w:color="auto"/>
          </w:divBdr>
        </w:div>
        <w:div w:id="1948270469">
          <w:marLeft w:val="0"/>
          <w:marRight w:val="0"/>
          <w:marTop w:val="0"/>
          <w:marBottom w:val="0"/>
          <w:divBdr>
            <w:top w:val="none" w:sz="0" w:space="0" w:color="auto"/>
            <w:left w:val="none" w:sz="0" w:space="0" w:color="auto"/>
            <w:bottom w:val="none" w:sz="0" w:space="0" w:color="auto"/>
            <w:right w:val="none" w:sz="0" w:space="0" w:color="auto"/>
          </w:divBdr>
        </w:div>
        <w:div w:id="1896620048">
          <w:marLeft w:val="0"/>
          <w:marRight w:val="0"/>
          <w:marTop w:val="0"/>
          <w:marBottom w:val="0"/>
          <w:divBdr>
            <w:top w:val="none" w:sz="0" w:space="0" w:color="auto"/>
            <w:left w:val="none" w:sz="0" w:space="0" w:color="auto"/>
            <w:bottom w:val="none" w:sz="0" w:space="0" w:color="auto"/>
            <w:right w:val="none" w:sz="0" w:space="0" w:color="auto"/>
          </w:divBdr>
        </w:div>
        <w:div w:id="169417083">
          <w:marLeft w:val="0"/>
          <w:marRight w:val="0"/>
          <w:marTop w:val="0"/>
          <w:marBottom w:val="0"/>
          <w:divBdr>
            <w:top w:val="none" w:sz="0" w:space="0" w:color="auto"/>
            <w:left w:val="none" w:sz="0" w:space="0" w:color="auto"/>
            <w:bottom w:val="none" w:sz="0" w:space="0" w:color="auto"/>
            <w:right w:val="none" w:sz="0" w:space="0" w:color="auto"/>
          </w:divBdr>
        </w:div>
        <w:div w:id="125128806">
          <w:marLeft w:val="0"/>
          <w:marRight w:val="0"/>
          <w:marTop w:val="0"/>
          <w:marBottom w:val="0"/>
          <w:divBdr>
            <w:top w:val="none" w:sz="0" w:space="0" w:color="auto"/>
            <w:left w:val="none" w:sz="0" w:space="0" w:color="auto"/>
            <w:bottom w:val="none" w:sz="0" w:space="0" w:color="auto"/>
            <w:right w:val="none" w:sz="0" w:space="0" w:color="auto"/>
          </w:divBdr>
        </w:div>
        <w:div w:id="1977644473">
          <w:marLeft w:val="0"/>
          <w:marRight w:val="0"/>
          <w:marTop w:val="0"/>
          <w:marBottom w:val="0"/>
          <w:divBdr>
            <w:top w:val="none" w:sz="0" w:space="0" w:color="auto"/>
            <w:left w:val="none" w:sz="0" w:space="0" w:color="auto"/>
            <w:bottom w:val="none" w:sz="0" w:space="0" w:color="auto"/>
            <w:right w:val="none" w:sz="0" w:space="0" w:color="auto"/>
          </w:divBdr>
        </w:div>
        <w:div w:id="1420250567">
          <w:marLeft w:val="0"/>
          <w:marRight w:val="0"/>
          <w:marTop w:val="0"/>
          <w:marBottom w:val="0"/>
          <w:divBdr>
            <w:top w:val="none" w:sz="0" w:space="0" w:color="auto"/>
            <w:left w:val="none" w:sz="0" w:space="0" w:color="auto"/>
            <w:bottom w:val="none" w:sz="0" w:space="0" w:color="auto"/>
            <w:right w:val="none" w:sz="0" w:space="0" w:color="auto"/>
          </w:divBdr>
        </w:div>
        <w:div w:id="1935896424">
          <w:marLeft w:val="0"/>
          <w:marRight w:val="0"/>
          <w:marTop w:val="0"/>
          <w:marBottom w:val="0"/>
          <w:divBdr>
            <w:top w:val="none" w:sz="0" w:space="0" w:color="auto"/>
            <w:left w:val="none" w:sz="0" w:space="0" w:color="auto"/>
            <w:bottom w:val="none" w:sz="0" w:space="0" w:color="auto"/>
            <w:right w:val="none" w:sz="0" w:space="0" w:color="auto"/>
          </w:divBdr>
        </w:div>
        <w:div w:id="159128390">
          <w:marLeft w:val="0"/>
          <w:marRight w:val="0"/>
          <w:marTop w:val="0"/>
          <w:marBottom w:val="0"/>
          <w:divBdr>
            <w:top w:val="none" w:sz="0" w:space="0" w:color="auto"/>
            <w:left w:val="none" w:sz="0" w:space="0" w:color="auto"/>
            <w:bottom w:val="none" w:sz="0" w:space="0" w:color="auto"/>
            <w:right w:val="none" w:sz="0" w:space="0" w:color="auto"/>
          </w:divBdr>
        </w:div>
      </w:divsChild>
    </w:div>
    <w:div w:id="1379433646">
      <w:bodyDiv w:val="1"/>
      <w:marLeft w:val="0"/>
      <w:marRight w:val="0"/>
      <w:marTop w:val="0"/>
      <w:marBottom w:val="0"/>
      <w:divBdr>
        <w:top w:val="none" w:sz="0" w:space="0" w:color="auto"/>
        <w:left w:val="none" w:sz="0" w:space="0" w:color="auto"/>
        <w:bottom w:val="none" w:sz="0" w:space="0" w:color="auto"/>
        <w:right w:val="none" w:sz="0" w:space="0" w:color="auto"/>
      </w:divBdr>
      <w:divsChild>
        <w:div w:id="865679400">
          <w:marLeft w:val="0"/>
          <w:marRight w:val="0"/>
          <w:marTop w:val="0"/>
          <w:marBottom w:val="0"/>
          <w:divBdr>
            <w:top w:val="none" w:sz="0" w:space="0" w:color="auto"/>
            <w:left w:val="none" w:sz="0" w:space="0" w:color="auto"/>
            <w:bottom w:val="none" w:sz="0" w:space="0" w:color="auto"/>
            <w:right w:val="none" w:sz="0" w:space="0" w:color="auto"/>
          </w:divBdr>
          <w:divsChild>
            <w:div w:id="2032140780">
              <w:marLeft w:val="0"/>
              <w:marRight w:val="0"/>
              <w:marTop w:val="0"/>
              <w:marBottom w:val="0"/>
              <w:divBdr>
                <w:top w:val="none" w:sz="0" w:space="0" w:color="auto"/>
                <w:left w:val="none" w:sz="0" w:space="0" w:color="auto"/>
                <w:bottom w:val="none" w:sz="0" w:space="0" w:color="auto"/>
                <w:right w:val="none" w:sz="0" w:space="0" w:color="auto"/>
              </w:divBdr>
              <w:divsChild>
                <w:div w:id="1942641688">
                  <w:marLeft w:val="0"/>
                  <w:marRight w:val="150"/>
                  <w:marTop w:val="0"/>
                  <w:marBottom w:val="0"/>
                  <w:divBdr>
                    <w:top w:val="none" w:sz="0" w:space="0" w:color="auto"/>
                    <w:left w:val="none" w:sz="0" w:space="0" w:color="auto"/>
                    <w:bottom w:val="none" w:sz="0" w:space="0" w:color="auto"/>
                    <w:right w:val="none" w:sz="0" w:space="0" w:color="auto"/>
                  </w:divBdr>
                  <w:divsChild>
                    <w:div w:id="408697066">
                      <w:marLeft w:val="0"/>
                      <w:marRight w:val="150"/>
                      <w:marTop w:val="0"/>
                      <w:marBottom w:val="0"/>
                      <w:divBdr>
                        <w:top w:val="none" w:sz="0" w:space="0" w:color="auto"/>
                        <w:left w:val="none" w:sz="0" w:space="0" w:color="auto"/>
                        <w:bottom w:val="none" w:sz="0" w:space="0" w:color="auto"/>
                        <w:right w:val="none" w:sz="0" w:space="0" w:color="auto"/>
                      </w:divBdr>
                    </w:div>
                  </w:divsChild>
                </w:div>
                <w:div w:id="564144431">
                  <w:marLeft w:val="0"/>
                  <w:marRight w:val="150"/>
                  <w:marTop w:val="0"/>
                  <w:marBottom w:val="0"/>
                  <w:divBdr>
                    <w:top w:val="none" w:sz="0" w:space="0" w:color="auto"/>
                    <w:left w:val="none" w:sz="0" w:space="0" w:color="auto"/>
                    <w:bottom w:val="none" w:sz="0" w:space="0" w:color="auto"/>
                    <w:right w:val="none" w:sz="0" w:space="0" w:color="auto"/>
                  </w:divBdr>
                  <w:divsChild>
                    <w:div w:id="944269330">
                      <w:marLeft w:val="0"/>
                      <w:marRight w:val="150"/>
                      <w:marTop w:val="0"/>
                      <w:marBottom w:val="0"/>
                      <w:divBdr>
                        <w:top w:val="none" w:sz="0" w:space="0" w:color="auto"/>
                        <w:left w:val="none" w:sz="0" w:space="0" w:color="auto"/>
                        <w:bottom w:val="none" w:sz="0" w:space="0" w:color="auto"/>
                        <w:right w:val="none" w:sz="0" w:space="0" w:color="auto"/>
                      </w:divBdr>
                    </w:div>
                  </w:divsChild>
                </w:div>
                <w:div w:id="469515336">
                  <w:marLeft w:val="0"/>
                  <w:marRight w:val="150"/>
                  <w:marTop w:val="0"/>
                  <w:marBottom w:val="0"/>
                  <w:divBdr>
                    <w:top w:val="none" w:sz="0" w:space="0" w:color="auto"/>
                    <w:left w:val="none" w:sz="0" w:space="0" w:color="auto"/>
                    <w:bottom w:val="none" w:sz="0" w:space="0" w:color="auto"/>
                    <w:right w:val="none" w:sz="0" w:space="0" w:color="auto"/>
                  </w:divBdr>
                  <w:divsChild>
                    <w:div w:id="49038785">
                      <w:marLeft w:val="0"/>
                      <w:marRight w:val="150"/>
                      <w:marTop w:val="0"/>
                      <w:marBottom w:val="0"/>
                      <w:divBdr>
                        <w:top w:val="none" w:sz="0" w:space="0" w:color="auto"/>
                        <w:left w:val="none" w:sz="0" w:space="0" w:color="auto"/>
                        <w:bottom w:val="none" w:sz="0" w:space="0" w:color="auto"/>
                        <w:right w:val="none" w:sz="0" w:space="0" w:color="auto"/>
                      </w:divBdr>
                    </w:div>
                  </w:divsChild>
                </w:div>
                <w:div w:id="324826170">
                  <w:marLeft w:val="0"/>
                  <w:marRight w:val="150"/>
                  <w:marTop w:val="0"/>
                  <w:marBottom w:val="0"/>
                  <w:divBdr>
                    <w:top w:val="none" w:sz="0" w:space="0" w:color="auto"/>
                    <w:left w:val="none" w:sz="0" w:space="0" w:color="auto"/>
                    <w:bottom w:val="none" w:sz="0" w:space="0" w:color="auto"/>
                    <w:right w:val="none" w:sz="0" w:space="0" w:color="auto"/>
                  </w:divBdr>
                  <w:divsChild>
                    <w:div w:id="515778363">
                      <w:marLeft w:val="0"/>
                      <w:marRight w:val="150"/>
                      <w:marTop w:val="0"/>
                      <w:marBottom w:val="0"/>
                      <w:divBdr>
                        <w:top w:val="none" w:sz="0" w:space="0" w:color="auto"/>
                        <w:left w:val="none" w:sz="0" w:space="0" w:color="auto"/>
                        <w:bottom w:val="none" w:sz="0" w:space="0" w:color="auto"/>
                        <w:right w:val="none" w:sz="0" w:space="0" w:color="auto"/>
                      </w:divBdr>
                    </w:div>
                  </w:divsChild>
                </w:div>
                <w:div w:id="751514241">
                  <w:marLeft w:val="0"/>
                  <w:marRight w:val="150"/>
                  <w:marTop w:val="0"/>
                  <w:marBottom w:val="0"/>
                  <w:divBdr>
                    <w:top w:val="none" w:sz="0" w:space="0" w:color="auto"/>
                    <w:left w:val="none" w:sz="0" w:space="0" w:color="auto"/>
                    <w:bottom w:val="none" w:sz="0" w:space="0" w:color="auto"/>
                    <w:right w:val="none" w:sz="0" w:space="0" w:color="auto"/>
                  </w:divBdr>
                  <w:divsChild>
                    <w:div w:id="173882150">
                      <w:marLeft w:val="0"/>
                      <w:marRight w:val="150"/>
                      <w:marTop w:val="0"/>
                      <w:marBottom w:val="0"/>
                      <w:divBdr>
                        <w:top w:val="none" w:sz="0" w:space="0" w:color="auto"/>
                        <w:left w:val="none" w:sz="0" w:space="0" w:color="auto"/>
                        <w:bottom w:val="none" w:sz="0" w:space="0" w:color="auto"/>
                        <w:right w:val="none" w:sz="0" w:space="0" w:color="auto"/>
                      </w:divBdr>
                    </w:div>
                  </w:divsChild>
                </w:div>
                <w:div w:id="333186410">
                  <w:marLeft w:val="0"/>
                  <w:marRight w:val="150"/>
                  <w:marTop w:val="0"/>
                  <w:marBottom w:val="0"/>
                  <w:divBdr>
                    <w:top w:val="none" w:sz="0" w:space="0" w:color="auto"/>
                    <w:left w:val="none" w:sz="0" w:space="0" w:color="auto"/>
                    <w:bottom w:val="none" w:sz="0" w:space="0" w:color="auto"/>
                    <w:right w:val="none" w:sz="0" w:space="0" w:color="auto"/>
                  </w:divBdr>
                  <w:divsChild>
                    <w:div w:id="131947297">
                      <w:marLeft w:val="0"/>
                      <w:marRight w:val="150"/>
                      <w:marTop w:val="0"/>
                      <w:marBottom w:val="0"/>
                      <w:divBdr>
                        <w:top w:val="none" w:sz="0" w:space="0" w:color="auto"/>
                        <w:left w:val="none" w:sz="0" w:space="0" w:color="auto"/>
                        <w:bottom w:val="none" w:sz="0" w:space="0" w:color="auto"/>
                        <w:right w:val="none" w:sz="0" w:space="0" w:color="auto"/>
                      </w:divBdr>
                    </w:div>
                  </w:divsChild>
                </w:div>
                <w:div w:id="2023703112">
                  <w:marLeft w:val="0"/>
                  <w:marRight w:val="150"/>
                  <w:marTop w:val="0"/>
                  <w:marBottom w:val="0"/>
                  <w:divBdr>
                    <w:top w:val="none" w:sz="0" w:space="0" w:color="auto"/>
                    <w:left w:val="none" w:sz="0" w:space="0" w:color="auto"/>
                    <w:bottom w:val="none" w:sz="0" w:space="0" w:color="auto"/>
                    <w:right w:val="none" w:sz="0" w:space="0" w:color="auto"/>
                  </w:divBdr>
                  <w:divsChild>
                    <w:div w:id="968709850">
                      <w:marLeft w:val="0"/>
                      <w:marRight w:val="150"/>
                      <w:marTop w:val="0"/>
                      <w:marBottom w:val="0"/>
                      <w:divBdr>
                        <w:top w:val="none" w:sz="0" w:space="0" w:color="auto"/>
                        <w:left w:val="none" w:sz="0" w:space="0" w:color="auto"/>
                        <w:bottom w:val="none" w:sz="0" w:space="0" w:color="auto"/>
                        <w:right w:val="none" w:sz="0" w:space="0" w:color="auto"/>
                      </w:divBdr>
                    </w:div>
                  </w:divsChild>
                </w:div>
                <w:div w:id="1287542470">
                  <w:marLeft w:val="0"/>
                  <w:marRight w:val="150"/>
                  <w:marTop w:val="0"/>
                  <w:marBottom w:val="0"/>
                  <w:divBdr>
                    <w:top w:val="none" w:sz="0" w:space="0" w:color="auto"/>
                    <w:left w:val="none" w:sz="0" w:space="0" w:color="auto"/>
                    <w:bottom w:val="none" w:sz="0" w:space="0" w:color="auto"/>
                    <w:right w:val="none" w:sz="0" w:space="0" w:color="auto"/>
                  </w:divBdr>
                  <w:divsChild>
                    <w:div w:id="16772709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12921765">
          <w:marLeft w:val="0"/>
          <w:marRight w:val="0"/>
          <w:marTop w:val="0"/>
          <w:marBottom w:val="0"/>
          <w:divBdr>
            <w:top w:val="none" w:sz="0" w:space="0" w:color="auto"/>
            <w:left w:val="none" w:sz="0" w:space="0" w:color="auto"/>
            <w:bottom w:val="none" w:sz="0" w:space="0" w:color="auto"/>
            <w:right w:val="none" w:sz="0" w:space="0" w:color="auto"/>
          </w:divBdr>
        </w:div>
        <w:div w:id="49811746">
          <w:marLeft w:val="0"/>
          <w:marRight w:val="0"/>
          <w:marTop w:val="0"/>
          <w:marBottom w:val="0"/>
          <w:divBdr>
            <w:top w:val="none" w:sz="0" w:space="0" w:color="auto"/>
            <w:left w:val="none" w:sz="0" w:space="0" w:color="auto"/>
            <w:bottom w:val="none" w:sz="0" w:space="0" w:color="auto"/>
            <w:right w:val="none" w:sz="0" w:space="0" w:color="auto"/>
          </w:divBdr>
        </w:div>
        <w:div w:id="1343781124">
          <w:marLeft w:val="0"/>
          <w:marRight w:val="0"/>
          <w:marTop w:val="0"/>
          <w:marBottom w:val="0"/>
          <w:divBdr>
            <w:top w:val="none" w:sz="0" w:space="0" w:color="auto"/>
            <w:left w:val="none" w:sz="0" w:space="0" w:color="auto"/>
            <w:bottom w:val="none" w:sz="0" w:space="0" w:color="auto"/>
            <w:right w:val="none" w:sz="0" w:space="0" w:color="auto"/>
          </w:divBdr>
        </w:div>
        <w:div w:id="833107169">
          <w:marLeft w:val="0"/>
          <w:marRight w:val="0"/>
          <w:marTop w:val="0"/>
          <w:marBottom w:val="0"/>
          <w:divBdr>
            <w:top w:val="none" w:sz="0" w:space="0" w:color="auto"/>
            <w:left w:val="none" w:sz="0" w:space="0" w:color="auto"/>
            <w:bottom w:val="none" w:sz="0" w:space="0" w:color="auto"/>
            <w:right w:val="none" w:sz="0" w:space="0" w:color="auto"/>
          </w:divBdr>
        </w:div>
        <w:div w:id="777869667">
          <w:marLeft w:val="0"/>
          <w:marRight w:val="0"/>
          <w:marTop w:val="0"/>
          <w:marBottom w:val="0"/>
          <w:divBdr>
            <w:top w:val="none" w:sz="0" w:space="0" w:color="auto"/>
            <w:left w:val="none" w:sz="0" w:space="0" w:color="auto"/>
            <w:bottom w:val="none" w:sz="0" w:space="0" w:color="auto"/>
            <w:right w:val="none" w:sz="0" w:space="0" w:color="auto"/>
          </w:divBdr>
        </w:div>
        <w:div w:id="1403214389">
          <w:marLeft w:val="0"/>
          <w:marRight w:val="0"/>
          <w:marTop w:val="0"/>
          <w:marBottom w:val="0"/>
          <w:divBdr>
            <w:top w:val="none" w:sz="0" w:space="0" w:color="auto"/>
            <w:left w:val="none" w:sz="0" w:space="0" w:color="auto"/>
            <w:bottom w:val="none" w:sz="0" w:space="0" w:color="auto"/>
            <w:right w:val="none" w:sz="0" w:space="0" w:color="auto"/>
          </w:divBdr>
        </w:div>
        <w:div w:id="890964679">
          <w:marLeft w:val="0"/>
          <w:marRight w:val="0"/>
          <w:marTop w:val="0"/>
          <w:marBottom w:val="0"/>
          <w:divBdr>
            <w:top w:val="none" w:sz="0" w:space="0" w:color="auto"/>
            <w:left w:val="none" w:sz="0" w:space="0" w:color="auto"/>
            <w:bottom w:val="none" w:sz="0" w:space="0" w:color="auto"/>
            <w:right w:val="none" w:sz="0" w:space="0" w:color="auto"/>
          </w:divBdr>
        </w:div>
        <w:div w:id="1848783608">
          <w:marLeft w:val="0"/>
          <w:marRight w:val="0"/>
          <w:marTop w:val="0"/>
          <w:marBottom w:val="0"/>
          <w:divBdr>
            <w:top w:val="none" w:sz="0" w:space="0" w:color="auto"/>
            <w:left w:val="none" w:sz="0" w:space="0" w:color="auto"/>
            <w:bottom w:val="none" w:sz="0" w:space="0" w:color="auto"/>
            <w:right w:val="none" w:sz="0" w:space="0" w:color="auto"/>
          </w:divBdr>
        </w:div>
        <w:div w:id="1816751172">
          <w:marLeft w:val="0"/>
          <w:marRight w:val="0"/>
          <w:marTop w:val="0"/>
          <w:marBottom w:val="0"/>
          <w:divBdr>
            <w:top w:val="none" w:sz="0" w:space="0" w:color="auto"/>
            <w:left w:val="none" w:sz="0" w:space="0" w:color="auto"/>
            <w:bottom w:val="none" w:sz="0" w:space="0" w:color="auto"/>
            <w:right w:val="none" w:sz="0" w:space="0" w:color="auto"/>
          </w:divBdr>
        </w:div>
        <w:div w:id="220485050">
          <w:marLeft w:val="0"/>
          <w:marRight w:val="0"/>
          <w:marTop w:val="0"/>
          <w:marBottom w:val="0"/>
          <w:divBdr>
            <w:top w:val="none" w:sz="0" w:space="0" w:color="auto"/>
            <w:left w:val="none" w:sz="0" w:space="0" w:color="auto"/>
            <w:bottom w:val="none" w:sz="0" w:space="0" w:color="auto"/>
            <w:right w:val="none" w:sz="0" w:space="0" w:color="auto"/>
          </w:divBdr>
        </w:div>
        <w:div w:id="1330522803">
          <w:marLeft w:val="0"/>
          <w:marRight w:val="0"/>
          <w:marTop w:val="0"/>
          <w:marBottom w:val="0"/>
          <w:divBdr>
            <w:top w:val="none" w:sz="0" w:space="0" w:color="auto"/>
            <w:left w:val="none" w:sz="0" w:space="0" w:color="auto"/>
            <w:bottom w:val="none" w:sz="0" w:space="0" w:color="auto"/>
            <w:right w:val="none" w:sz="0" w:space="0" w:color="auto"/>
          </w:divBdr>
        </w:div>
        <w:div w:id="1004436093">
          <w:marLeft w:val="0"/>
          <w:marRight w:val="0"/>
          <w:marTop w:val="0"/>
          <w:marBottom w:val="0"/>
          <w:divBdr>
            <w:top w:val="none" w:sz="0" w:space="0" w:color="auto"/>
            <w:left w:val="none" w:sz="0" w:space="0" w:color="auto"/>
            <w:bottom w:val="none" w:sz="0" w:space="0" w:color="auto"/>
            <w:right w:val="none" w:sz="0" w:space="0" w:color="auto"/>
          </w:divBdr>
        </w:div>
        <w:div w:id="655572071">
          <w:marLeft w:val="0"/>
          <w:marRight w:val="0"/>
          <w:marTop w:val="0"/>
          <w:marBottom w:val="0"/>
          <w:divBdr>
            <w:top w:val="none" w:sz="0" w:space="0" w:color="auto"/>
            <w:left w:val="none" w:sz="0" w:space="0" w:color="auto"/>
            <w:bottom w:val="none" w:sz="0" w:space="0" w:color="auto"/>
            <w:right w:val="none" w:sz="0" w:space="0" w:color="auto"/>
          </w:divBdr>
        </w:div>
        <w:div w:id="1541937184">
          <w:marLeft w:val="0"/>
          <w:marRight w:val="0"/>
          <w:marTop w:val="0"/>
          <w:marBottom w:val="0"/>
          <w:divBdr>
            <w:top w:val="none" w:sz="0" w:space="0" w:color="auto"/>
            <w:left w:val="none" w:sz="0" w:space="0" w:color="auto"/>
            <w:bottom w:val="none" w:sz="0" w:space="0" w:color="auto"/>
            <w:right w:val="none" w:sz="0" w:space="0" w:color="auto"/>
          </w:divBdr>
        </w:div>
        <w:div w:id="367991199">
          <w:marLeft w:val="0"/>
          <w:marRight w:val="0"/>
          <w:marTop w:val="0"/>
          <w:marBottom w:val="0"/>
          <w:divBdr>
            <w:top w:val="none" w:sz="0" w:space="0" w:color="auto"/>
            <w:left w:val="none" w:sz="0" w:space="0" w:color="auto"/>
            <w:bottom w:val="none" w:sz="0" w:space="0" w:color="auto"/>
            <w:right w:val="none" w:sz="0" w:space="0" w:color="auto"/>
          </w:divBdr>
        </w:div>
        <w:div w:id="187454204">
          <w:marLeft w:val="0"/>
          <w:marRight w:val="0"/>
          <w:marTop w:val="0"/>
          <w:marBottom w:val="0"/>
          <w:divBdr>
            <w:top w:val="none" w:sz="0" w:space="0" w:color="auto"/>
            <w:left w:val="none" w:sz="0" w:space="0" w:color="auto"/>
            <w:bottom w:val="none" w:sz="0" w:space="0" w:color="auto"/>
            <w:right w:val="none" w:sz="0" w:space="0" w:color="auto"/>
          </w:divBdr>
        </w:div>
        <w:div w:id="990139386">
          <w:marLeft w:val="0"/>
          <w:marRight w:val="0"/>
          <w:marTop w:val="0"/>
          <w:marBottom w:val="0"/>
          <w:divBdr>
            <w:top w:val="none" w:sz="0" w:space="0" w:color="auto"/>
            <w:left w:val="none" w:sz="0" w:space="0" w:color="auto"/>
            <w:bottom w:val="none" w:sz="0" w:space="0" w:color="auto"/>
            <w:right w:val="none" w:sz="0" w:space="0" w:color="auto"/>
          </w:divBdr>
        </w:div>
        <w:div w:id="1107969917">
          <w:marLeft w:val="0"/>
          <w:marRight w:val="0"/>
          <w:marTop w:val="0"/>
          <w:marBottom w:val="0"/>
          <w:divBdr>
            <w:top w:val="none" w:sz="0" w:space="0" w:color="auto"/>
            <w:left w:val="none" w:sz="0" w:space="0" w:color="auto"/>
            <w:bottom w:val="none" w:sz="0" w:space="0" w:color="auto"/>
            <w:right w:val="none" w:sz="0" w:space="0" w:color="auto"/>
          </w:divBdr>
        </w:div>
        <w:div w:id="587813264">
          <w:marLeft w:val="0"/>
          <w:marRight w:val="0"/>
          <w:marTop w:val="0"/>
          <w:marBottom w:val="0"/>
          <w:divBdr>
            <w:top w:val="none" w:sz="0" w:space="0" w:color="auto"/>
            <w:left w:val="none" w:sz="0" w:space="0" w:color="auto"/>
            <w:bottom w:val="none" w:sz="0" w:space="0" w:color="auto"/>
            <w:right w:val="none" w:sz="0" w:space="0" w:color="auto"/>
          </w:divBdr>
        </w:div>
        <w:div w:id="277176110">
          <w:marLeft w:val="0"/>
          <w:marRight w:val="0"/>
          <w:marTop w:val="0"/>
          <w:marBottom w:val="0"/>
          <w:divBdr>
            <w:top w:val="none" w:sz="0" w:space="0" w:color="auto"/>
            <w:left w:val="none" w:sz="0" w:space="0" w:color="auto"/>
            <w:bottom w:val="none" w:sz="0" w:space="0" w:color="auto"/>
            <w:right w:val="none" w:sz="0" w:space="0" w:color="auto"/>
          </w:divBdr>
        </w:div>
        <w:div w:id="493029567">
          <w:marLeft w:val="0"/>
          <w:marRight w:val="0"/>
          <w:marTop w:val="0"/>
          <w:marBottom w:val="0"/>
          <w:divBdr>
            <w:top w:val="none" w:sz="0" w:space="0" w:color="auto"/>
            <w:left w:val="none" w:sz="0" w:space="0" w:color="auto"/>
            <w:bottom w:val="none" w:sz="0" w:space="0" w:color="auto"/>
            <w:right w:val="none" w:sz="0" w:space="0" w:color="auto"/>
          </w:divBdr>
        </w:div>
        <w:div w:id="218058307">
          <w:marLeft w:val="0"/>
          <w:marRight w:val="0"/>
          <w:marTop w:val="0"/>
          <w:marBottom w:val="0"/>
          <w:divBdr>
            <w:top w:val="none" w:sz="0" w:space="0" w:color="auto"/>
            <w:left w:val="none" w:sz="0" w:space="0" w:color="auto"/>
            <w:bottom w:val="none" w:sz="0" w:space="0" w:color="auto"/>
            <w:right w:val="none" w:sz="0" w:space="0" w:color="auto"/>
          </w:divBdr>
        </w:div>
        <w:div w:id="1916014899">
          <w:marLeft w:val="0"/>
          <w:marRight w:val="0"/>
          <w:marTop w:val="0"/>
          <w:marBottom w:val="0"/>
          <w:divBdr>
            <w:top w:val="none" w:sz="0" w:space="0" w:color="auto"/>
            <w:left w:val="none" w:sz="0" w:space="0" w:color="auto"/>
            <w:bottom w:val="none" w:sz="0" w:space="0" w:color="auto"/>
            <w:right w:val="none" w:sz="0" w:space="0" w:color="auto"/>
          </w:divBdr>
        </w:div>
        <w:div w:id="1559589218">
          <w:marLeft w:val="0"/>
          <w:marRight w:val="0"/>
          <w:marTop w:val="0"/>
          <w:marBottom w:val="0"/>
          <w:divBdr>
            <w:top w:val="none" w:sz="0" w:space="0" w:color="auto"/>
            <w:left w:val="none" w:sz="0" w:space="0" w:color="auto"/>
            <w:bottom w:val="none" w:sz="0" w:space="0" w:color="auto"/>
            <w:right w:val="none" w:sz="0" w:space="0" w:color="auto"/>
          </w:divBdr>
        </w:div>
        <w:div w:id="1830099637">
          <w:marLeft w:val="0"/>
          <w:marRight w:val="0"/>
          <w:marTop w:val="0"/>
          <w:marBottom w:val="0"/>
          <w:divBdr>
            <w:top w:val="none" w:sz="0" w:space="0" w:color="auto"/>
            <w:left w:val="none" w:sz="0" w:space="0" w:color="auto"/>
            <w:bottom w:val="none" w:sz="0" w:space="0" w:color="auto"/>
            <w:right w:val="none" w:sz="0" w:space="0" w:color="auto"/>
          </w:divBdr>
        </w:div>
        <w:div w:id="511801087">
          <w:marLeft w:val="0"/>
          <w:marRight w:val="0"/>
          <w:marTop w:val="0"/>
          <w:marBottom w:val="0"/>
          <w:divBdr>
            <w:top w:val="none" w:sz="0" w:space="0" w:color="auto"/>
            <w:left w:val="none" w:sz="0" w:space="0" w:color="auto"/>
            <w:bottom w:val="none" w:sz="0" w:space="0" w:color="auto"/>
            <w:right w:val="none" w:sz="0" w:space="0" w:color="auto"/>
          </w:divBdr>
        </w:div>
        <w:div w:id="1278371122">
          <w:marLeft w:val="0"/>
          <w:marRight w:val="0"/>
          <w:marTop w:val="0"/>
          <w:marBottom w:val="0"/>
          <w:divBdr>
            <w:top w:val="none" w:sz="0" w:space="0" w:color="auto"/>
            <w:left w:val="none" w:sz="0" w:space="0" w:color="auto"/>
            <w:bottom w:val="none" w:sz="0" w:space="0" w:color="auto"/>
            <w:right w:val="none" w:sz="0" w:space="0" w:color="auto"/>
          </w:divBdr>
        </w:div>
        <w:div w:id="1657372295">
          <w:marLeft w:val="0"/>
          <w:marRight w:val="0"/>
          <w:marTop w:val="0"/>
          <w:marBottom w:val="0"/>
          <w:divBdr>
            <w:top w:val="none" w:sz="0" w:space="0" w:color="auto"/>
            <w:left w:val="none" w:sz="0" w:space="0" w:color="auto"/>
            <w:bottom w:val="none" w:sz="0" w:space="0" w:color="auto"/>
            <w:right w:val="none" w:sz="0" w:space="0" w:color="auto"/>
          </w:divBdr>
        </w:div>
        <w:div w:id="997152497">
          <w:marLeft w:val="0"/>
          <w:marRight w:val="0"/>
          <w:marTop w:val="0"/>
          <w:marBottom w:val="0"/>
          <w:divBdr>
            <w:top w:val="none" w:sz="0" w:space="0" w:color="auto"/>
            <w:left w:val="none" w:sz="0" w:space="0" w:color="auto"/>
            <w:bottom w:val="none" w:sz="0" w:space="0" w:color="auto"/>
            <w:right w:val="none" w:sz="0" w:space="0" w:color="auto"/>
          </w:divBdr>
        </w:div>
        <w:div w:id="107698882">
          <w:marLeft w:val="0"/>
          <w:marRight w:val="0"/>
          <w:marTop w:val="0"/>
          <w:marBottom w:val="0"/>
          <w:divBdr>
            <w:top w:val="none" w:sz="0" w:space="0" w:color="auto"/>
            <w:left w:val="none" w:sz="0" w:space="0" w:color="auto"/>
            <w:bottom w:val="none" w:sz="0" w:space="0" w:color="auto"/>
            <w:right w:val="none" w:sz="0" w:space="0" w:color="auto"/>
          </w:divBdr>
        </w:div>
        <w:div w:id="1464497285">
          <w:marLeft w:val="0"/>
          <w:marRight w:val="0"/>
          <w:marTop w:val="0"/>
          <w:marBottom w:val="0"/>
          <w:divBdr>
            <w:top w:val="none" w:sz="0" w:space="0" w:color="auto"/>
            <w:left w:val="none" w:sz="0" w:space="0" w:color="auto"/>
            <w:bottom w:val="none" w:sz="0" w:space="0" w:color="auto"/>
            <w:right w:val="none" w:sz="0" w:space="0" w:color="auto"/>
          </w:divBdr>
        </w:div>
        <w:div w:id="1295866972">
          <w:marLeft w:val="0"/>
          <w:marRight w:val="0"/>
          <w:marTop w:val="0"/>
          <w:marBottom w:val="0"/>
          <w:divBdr>
            <w:top w:val="none" w:sz="0" w:space="0" w:color="auto"/>
            <w:left w:val="none" w:sz="0" w:space="0" w:color="auto"/>
            <w:bottom w:val="none" w:sz="0" w:space="0" w:color="auto"/>
            <w:right w:val="none" w:sz="0" w:space="0" w:color="auto"/>
          </w:divBdr>
        </w:div>
        <w:div w:id="1489250087">
          <w:marLeft w:val="0"/>
          <w:marRight w:val="0"/>
          <w:marTop w:val="0"/>
          <w:marBottom w:val="0"/>
          <w:divBdr>
            <w:top w:val="none" w:sz="0" w:space="0" w:color="auto"/>
            <w:left w:val="none" w:sz="0" w:space="0" w:color="auto"/>
            <w:bottom w:val="none" w:sz="0" w:space="0" w:color="auto"/>
            <w:right w:val="none" w:sz="0" w:space="0" w:color="auto"/>
          </w:divBdr>
        </w:div>
        <w:div w:id="551960228">
          <w:marLeft w:val="0"/>
          <w:marRight w:val="0"/>
          <w:marTop w:val="0"/>
          <w:marBottom w:val="0"/>
          <w:divBdr>
            <w:top w:val="none" w:sz="0" w:space="0" w:color="auto"/>
            <w:left w:val="none" w:sz="0" w:space="0" w:color="auto"/>
            <w:bottom w:val="none" w:sz="0" w:space="0" w:color="auto"/>
            <w:right w:val="none" w:sz="0" w:space="0" w:color="auto"/>
          </w:divBdr>
        </w:div>
        <w:div w:id="827329111">
          <w:marLeft w:val="0"/>
          <w:marRight w:val="0"/>
          <w:marTop w:val="0"/>
          <w:marBottom w:val="0"/>
          <w:divBdr>
            <w:top w:val="none" w:sz="0" w:space="0" w:color="auto"/>
            <w:left w:val="none" w:sz="0" w:space="0" w:color="auto"/>
            <w:bottom w:val="none" w:sz="0" w:space="0" w:color="auto"/>
            <w:right w:val="none" w:sz="0" w:space="0" w:color="auto"/>
          </w:divBdr>
        </w:div>
        <w:div w:id="1142306700">
          <w:marLeft w:val="0"/>
          <w:marRight w:val="0"/>
          <w:marTop w:val="0"/>
          <w:marBottom w:val="0"/>
          <w:divBdr>
            <w:top w:val="none" w:sz="0" w:space="0" w:color="auto"/>
            <w:left w:val="none" w:sz="0" w:space="0" w:color="auto"/>
            <w:bottom w:val="none" w:sz="0" w:space="0" w:color="auto"/>
            <w:right w:val="none" w:sz="0" w:space="0" w:color="auto"/>
          </w:divBdr>
        </w:div>
        <w:div w:id="547764913">
          <w:marLeft w:val="0"/>
          <w:marRight w:val="0"/>
          <w:marTop w:val="0"/>
          <w:marBottom w:val="0"/>
          <w:divBdr>
            <w:top w:val="none" w:sz="0" w:space="0" w:color="auto"/>
            <w:left w:val="none" w:sz="0" w:space="0" w:color="auto"/>
            <w:bottom w:val="none" w:sz="0" w:space="0" w:color="auto"/>
            <w:right w:val="none" w:sz="0" w:space="0" w:color="auto"/>
          </w:divBdr>
        </w:div>
        <w:div w:id="1049963461">
          <w:marLeft w:val="0"/>
          <w:marRight w:val="0"/>
          <w:marTop w:val="0"/>
          <w:marBottom w:val="0"/>
          <w:divBdr>
            <w:top w:val="none" w:sz="0" w:space="0" w:color="auto"/>
            <w:left w:val="none" w:sz="0" w:space="0" w:color="auto"/>
            <w:bottom w:val="none" w:sz="0" w:space="0" w:color="auto"/>
            <w:right w:val="none" w:sz="0" w:space="0" w:color="auto"/>
          </w:divBdr>
        </w:div>
        <w:div w:id="935558200">
          <w:marLeft w:val="0"/>
          <w:marRight w:val="0"/>
          <w:marTop w:val="0"/>
          <w:marBottom w:val="0"/>
          <w:divBdr>
            <w:top w:val="none" w:sz="0" w:space="0" w:color="auto"/>
            <w:left w:val="none" w:sz="0" w:space="0" w:color="auto"/>
            <w:bottom w:val="none" w:sz="0" w:space="0" w:color="auto"/>
            <w:right w:val="none" w:sz="0" w:space="0" w:color="auto"/>
          </w:divBdr>
        </w:div>
        <w:div w:id="303853226">
          <w:marLeft w:val="0"/>
          <w:marRight w:val="0"/>
          <w:marTop w:val="0"/>
          <w:marBottom w:val="0"/>
          <w:divBdr>
            <w:top w:val="none" w:sz="0" w:space="0" w:color="auto"/>
            <w:left w:val="none" w:sz="0" w:space="0" w:color="auto"/>
            <w:bottom w:val="none" w:sz="0" w:space="0" w:color="auto"/>
            <w:right w:val="none" w:sz="0" w:space="0" w:color="auto"/>
          </w:divBdr>
        </w:div>
      </w:divsChild>
    </w:div>
    <w:div w:id="167996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pfc.int/system/files/2025-07/CMM%202025-05_For%20Bottom%20Fisheries%20and%20Protection%20of%20VMEs%20in%20the.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11/j.1600-0587.2013.00205.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package=terra" TargetMode="External"/><Relationship Id="rId5" Type="http://schemas.openxmlformats.org/officeDocument/2006/relationships/webSettings" Target="webSettings.xml"/><Relationship Id="rId15" Type="http://schemas.openxmlformats.org/officeDocument/2006/relationships/hyperlink" Target="http://www.npfc.int"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fc.int/system/files/2025-07/CMM%202025-06_For%20Bottom%20Fisheries%20and%20Protection%20of%20VMEs%20in%20the_0.pdf"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1929</Words>
  <Characters>10996</Characters>
  <Application>Microsoft Office Word</Application>
  <DocSecurity>0</DocSecurity>
  <Lines>91</Lines>
  <Paragraphs>25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4</cp:revision>
  <cp:lastPrinted>2017-09-04T06:52:00Z</cp:lastPrinted>
  <dcterms:created xsi:type="dcterms:W3CDTF">2025-11-27T00:47:00Z</dcterms:created>
  <dcterms:modified xsi:type="dcterms:W3CDTF">2025-11-27T01:08:00Z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2e732c27,2217f7cf,558880c9</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2025-10-18T12:20:42Z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4ea92a67-bd29-47dc-8625-0b604c70c70a</vt:lpwstr>
  </property>
  <property fmtid="{D5CDD505-2E9C-101B-9397-08002B2CF9AE}" pid="11" name="MSIP_Label_4e6cdb53-fd15-486d-84de-c510e3a62203_ContentBits">
    <vt:lpwstr>1</vt:lpwstr>
  </property>
</Properties>
</file>