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689336" w14:textId="16EE8998" w:rsidR="004A004B" w:rsidRDefault="004A004B" w:rsidP="004A004B">
      <w:pPr>
        <w:jc w:val="right"/>
        <w:rPr>
          <w:sz w:val="24"/>
          <w:szCs w:val="24"/>
        </w:rPr>
      </w:pPr>
      <w:r w:rsidRPr="004A004B">
        <w:rPr>
          <w:sz w:val="24"/>
          <w:szCs w:val="24"/>
        </w:rPr>
        <w:t>NPFC-2024-</w:t>
      </w:r>
      <w:r w:rsidR="00BF302F">
        <w:rPr>
          <w:sz w:val="24"/>
          <w:szCs w:val="24"/>
        </w:rPr>
        <w:t>SSC PS</w:t>
      </w:r>
      <w:r w:rsidRPr="004A004B">
        <w:rPr>
          <w:sz w:val="24"/>
          <w:szCs w:val="24"/>
        </w:rPr>
        <w:t>14-WP</w:t>
      </w:r>
      <w:r w:rsidR="00BF302F">
        <w:rPr>
          <w:sz w:val="24"/>
          <w:szCs w:val="24"/>
        </w:rPr>
        <w:t>02</w:t>
      </w:r>
    </w:p>
    <w:p w14:paraId="143DA6CD" w14:textId="53099A12" w:rsidR="004A004B" w:rsidRPr="006E2F4B" w:rsidRDefault="004A004B" w:rsidP="004A004B">
      <w:pPr>
        <w:jc w:val="center"/>
        <w:rPr>
          <w:sz w:val="24"/>
          <w:szCs w:val="24"/>
        </w:rPr>
      </w:pPr>
      <w:r w:rsidRPr="006E2F4B">
        <w:rPr>
          <w:sz w:val="24"/>
          <w:szCs w:val="24"/>
        </w:rPr>
        <w:t>Potential impact of climate change on habitat suitability of Pacific saury in the Northwestern Pacific Ocean</w:t>
      </w:r>
    </w:p>
    <w:p w14:paraId="1C34CDF5" w14:textId="77777777" w:rsidR="004A004B" w:rsidRPr="006E2F4B" w:rsidRDefault="004A004B" w:rsidP="004A004B">
      <w:pPr>
        <w:jc w:val="center"/>
        <w:rPr>
          <w:sz w:val="24"/>
          <w:szCs w:val="24"/>
        </w:rPr>
      </w:pPr>
      <w:r>
        <w:rPr>
          <w:sz w:val="24"/>
          <w:szCs w:val="24"/>
        </w:rPr>
        <w:t xml:space="preserve">Kevin Pranata Ginting, </w:t>
      </w:r>
      <w:r w:rsidRPr="006E2F4B">
        <w:rPr>
          <w:sz w:val="24"/>
          <w:szCs w:val="24"/>
        </w:rPr>
        <w:t xml:space="preserve">Wen-Bin Huang, </w:t>
      </w:r>
      <w:r>
        <w:rPr>
          <w:sz w:val="24"/>
          <w:szCs w:val="24"/>
        </w:rPr>
        <w:t>Hsiang-Chung Chien</w:t>
      </w:r>
    </w:p>
    <w:p w14:paraId="30CDEE6C" w14:textId="77777777" w:rsidR="004A004B" w:rsidRPr="006E2F4B" w:rsidRDefault="004A004B" w:rsidP="004A004B">
      <w:pPr>
        <w:jc w:val="center"/>
        <w:rPr>
          <w:sz w:val="24"/>
          <w:szCs w:val="24"/>
        </w:rPr>
      </w:pPr>
      <w:r w:rsidRPr="006E2F4B">
        <w:rPr>
          <w:sz w:val="24"/>
          <w:szCs w:val="24"/>
        </w:rPr>
        <w:t>Department of Natural Resources and Environmental Studies, National Dong Hwa University</w:t>
      </w:r>
    </w:p>
    <w:p w14:paraId="67406479" w14:textId="77777777" w:rsidR="004A004B" w:rsidRPr="006E2F4B" w:rsidRDefault="004A004B" w:rsidP="004A004B">
      <w:pPr>
        <w:jc w:val="center"/>
        <w:rPr>
          <w:sz w:val="24"/>
          <w:szCs w:val="24"/>
        </w:rPr>
      </w:pPr>
      <w:r w:rsidRPr="006E2F4B">
        <w:rPr>
          <w:sz w:val="24"/>
          <w:szCs w:val="24"/>
        </w:rPr>
        <w:t>ABSTRACT</w:t>
      </w:r>
    </w:p>
    <w:p w14:paraId="2C5B5B7D" w14:textId="77777777" w:rsidR="004A004B" w:rsidRPr="006E2F4B" w:rsidRDefault="004A004B" w:rsidP="004A004B">
      <w:pPr>
        <w:jc w:val="both"/>
        <w:rPr>
          <w:sz w:val="24"/>
          <w:szCs w:val="24"/>
        </w:rPr>
      </w:pPr>
      <w:r w:rsidRPr="006E2F4B">
        <w:rPr>
          <w:sz w:val="24"/>
          <w:szCs w:val="24"/>
        </w:rPr>
        <w:t>This study assessed the potential impact of climate changes on the habitat of the Pacific saury in the Northwestern Pacific Ocean under various scenarios derived from the IPCC AR 6 report. Six environmental variables, namely sea surface temperature, sea surface salinity, sea surface height, dissolved oxygen, mixed layer depth, and net primary productivity, were used to estimate the habitat suitability index (HSI) using the yield density approach. Three periods were divided, namely historical (2001-2014), current (2015-2021), and future (2030, 2050, and 2100) to evaluate the climate change impacts on the Pacific saury. Latitudinally, the center of the saury suitable habitat area (SHA) was generally located around 43 – 44°N in the historical period with a slightly northward movement, shifted to 44.5 – 45.5°N in the current period, and moved to 45-46°N in most of future projections, except for SSP 1-1.9 (the lowest emission scenario). Longitudinally, the saury SHA center was distributed around 164.5- 166°E in the historical period with a slightly eastward movement, shifted to 166-168°E in the current period, then moved eastward for the scenario SSP 2-4.5, 3-7.5 and 5-8.5, and westward for the scenario SSP 1-1.9 and 1-2.6 in the future projections. The grid number of the saury SHA showed a gradually decreasing trend in the historical period and continuously decreased in the current period. In all future projections, the grid number also exhibit a decreasing trend to the lowest in 2100. In addition, the current saury SHA distribution is closely aligned with SSP 1-2.6 (low emission pathway).</w:t>
      </w:r>
    </w:p>
    <w:p w14:paraId="47D1829B" w14:textId="3B9E9DA1" w:rsidR="004A004B" w:rsidRPr="006E2F4B" w:rsidRDefault="004A004B" w:rsidP="004A004B">
      <w:pPr>
        <w:rPr>
          <w:sz w:val="24"/>
          <w:szCs w:val="24"/>
        </w:rPr>
      </w:pPr>
    </w:p>
    <w:p w14:paraId="4B8C56FD" w14:textId="77777777" w:rsidR="004A004B" w:rsidRPr="006E2F4B" w:rsidRDefault="004A004B" w:rsidP="004A004B">
      <w:pPr>
        <w:rPr>
          <w:sz w:val="24"/>
          <w:szCs w:val="24"/>
        </w:rPr>
      </w:pPr>
      <w:r w:rsidRPr="006E2F4B">
        <w:rPr>
          <w:sz w:val="24"/>
          <w:szCs w:val="24"/>
        </w:rPr>
        <w:t xml:space="preserve">Keyword: Pacific saury, climate change, habitat suitability, IPCC AR 6. </w:t>
      </w:r>
      <w:r w:rsidRPr="006E2F4B">
        <w:rPr>
          <w:sz w:val="24"/>
          <w:szCs w:val="24"/>
        </w:rPr>
        <w:br w:type="page"/>
      </w:r>
    </w:p>
    <w:p w14:paraId="61F20A37" w14:textId="77777777" w:rsidR="004A004B" w:rsidRPr="006E2F4B" w:rsidRDefault="004A004B" w:rsidP="004A004B">
      <w:pPr>
        <w:pStyle w:val="ListParagraph"/>
        <w:numPr>
          <w:ilvl w:val="0"/>
          <w:numId w:val="1"/>
        </w:numPr>
        <w:ind w:left="360"/>
        <w:rPr>
          <w:b/>
          <w:bCs/>
          <w:sz w:val="24"/>
          <w:szCs w:val="24"/>
        </w:rPr>
      </w:pPr>
      <w:r w:rsidRPr="006E2F4B">
        <w:rPr>
          <w:b/>
          <w:bCs/>
          <w:sz w:val="24"/>
          <w:szCs w:val="24"/>
        </w:rPr>
        <w:lastRenderedPageBreak/>
        <w:t>Introduction</w:t>
      </w:r>
    </w:p>
    <w:p w14:paraId="1D7EC5CF" w14:textId="77777777" w:rsidR="004A004B" w:rsidRPr="006E2F4B" w:rsidRDefault="004A004B" w:rsidP="004A004B">
      <w:pPr>
        <w:spacing w:line="360" w:lineRule="auto"/>
        <w:jc w:val="both"/>
        <w:rPr>
          <w:sz w:val="24"/>
          <w:szCs w:val="24"/>
        </w:rPr>
      </w:pPr>
      <w:r w:rsidRPr="006E2F4B">
        <w:rPr>
          <w:sz w:val="24"/>
          <w:szCs w:val="24"/>
        </w:rPr>
        <w:t>Climate change is exerting unprecedented pressure on marine ecosystems, often resulting in spatial shifts in species distribution due to changing environmental conditions (</w:t>
      </w:r>
      <w:proofErr w:type="spellStart"/>
      <w:r w:rsidRPr="006E2F4B">
        <w:rPr>
          <w:sz w:val="24"/>
          <w:szCs w:val="24"/>
        </w:rPr>
        <w:t>Sarre</w:t>
      </w:r>
      <w:proofErr w:type="spellEnd"/>
      <w:r w:rsidRPr="006E2F4B">
        <w:rPr>
          <w:sz w:val="24"/>
          <w:szCs w:val="24"/>
        </w:rPr>
        <w:t xml:space="preserve"> et al., 2024). Among those affected is the Pacific saury (</w:t>
      </w:r>
      <w:proofErr w:type="spellStart"/>
      <w:r w:rsidRPr="006E2F4B">
        <w:rPr>
          <w:i/>
          <w:iCs/>
          <w:sz w:val="24"/>
          <w:szCs w:val="24"/>
        </w:rPr>
        <w:t>Cololabis</w:t>
      </w:r>
      <w:proofErr w:type="spellEnd"/>
      <w:r w:rsidRPr="006E2F4B">
        <w:rPr>
          <w:i/>
          <w:iCs/>
          <w:sz w:val="24"/>
          <w:szCs w:val="24"/>
        </w:rPr>
        <w:t xml:space="preserve"> </w:t>
      </w:r>
      <w:proofErr w:type="spellStart"/>
      <w:r w:rsidRPr="006E2F4B">
        <w:rPr>
          <w:i/>
          <w:iCs/>
          <w:sz w:val="24"/>
          <w:szCs w:val="24"/>
        </w:rPr>
        <w:t>saira</w:t>
      </w:r>
      <w:proofErr w:type="spellEnd"/>
      <w:r w:rsidRPr="006E2F4B">
        <w:rPr>
          <w:sz w:val="24"/>
          <w:szCs w:val="24"/>
        </w:rPr>
        <w:t>), an economically important species in the Northwestern Pacific Ocean (NPFC, 2022). Studies have shown that Pacific saury populations are more influenced by oceanic and climatic factors than by fishing pressures (Liu et al., 2022). Key environmental variables such as sea surface temperature (SST), mixed layer depth (MLD), sea surface height (SSH), sea surface salinity (SSS), dissolved oxygen (DO), and net primary production (NPP) play a significant role in determining the habitat suitability of Pacific saury (Tseng et al., 2011; Hua et al., 2020; Tian et al., 2002; Chang et al., 2018).</w:t>
      </w:r>
    </w:p>
    <w:p w14:paraId="23776A45" w14:textId="77777777" w:rsidR="004A004B" w:rsidRPr="006E2F4B" w:rsidRDefault="004A004B" w:rsidP="004A004B">
      <w:pPr>
        <w:spacing w:line="360" w:lineRule="auto"/>
        <w:jc w:val="both"/>
        <w:rPr>
          <w:sz w:val="24"/>
          <w:szCs w:val="24"/>
        </w:rPr>
      </w:pPr>
      <w:r w:rsidRPr="006E2F4B">
        <w:rPr>
          <w:sz w:val="24"/>
          <w:szCs w:val="24"/>
        </w:rPr>
        <w:t>In recent years, climate-driven changes have introduced increased variability into these oceanographic variables, potentially altering the distribution and abundance of Pacific saury. For example, rising SST can drive habitat shifts toward cooler, higher-latitude waters (Liu et al., 2022; Hua et al., 2020). Furthermore, changes in DO levels and NPP due to ocean stratification and altered nutrient cycles impact food availability and habitat quality, affecting saury distribution and population dynamics (Liu et al., 2022; Tseng et al., 2011). These environmental changes not only influence habitat suitability but also challenge fisheries management, as shifting fishing grounds could lead to decreased productivity (Tseng et al., 2011; Hua et al., 2020).</w:t>
      </w:r>
    </w:p>
    <w:p w14:paraId="3734AB43" w14:textId="7AF6D382" w:rsidR="004A004B" w:rsidRPr="006E2F4B" w:rsidRDefault="004A004B" w:rsidP="004A004B">
      <w:pPr>
        <w:spacing w:line="360" w:lineRule="auto"/>
        <w:jc w:val="both"/>
        <w:rPr>
          <w:sz w:val="24"/>
          <w:szCs w:val="24"/>
        </w:rPr>
      </w:pPr>
      <w:r w:rsidRPr="006E2F4B">
        <w:rPr>
          <w:sz w:val="24"/>
          <w:szCs w:val="24"/>
        </w:rPr>
        <w:t>To assess these impacts, this study utilizes historical and projected climate data from the CMIP6 dataset, focusing on six critical environmental variables. By applying models like the yield-density model and habitat suitability index (HSI), the study seeks to quantify the relationship between Pacific saury abundance and oceanographic conditions across historical, current, and future scenarios</w:t>
      </w:r>
      <w:r w:rsidRPr="00173DB7">
        <w:rPr>
          <w:color w:val="1F3864" w:themeColor="accent1" w:themeShade="80"/>
          <w:sz w:val="24"/>
          <w:szCs w:val="24"/>
        </w:rPr>
        <w:t>.</w:t>
      </w:r>
      <w:r>
        <w:rPr>
          <w:sz w:val="24"/>
          <w:szCs w:val="24"/>
        </w:rPr>
        <w:t xml:space="preserve"> </w:t>
      </w:r>
      <w:r w:rsidRPr="006E2F4B">
        <w:rPr>
          <w:sz w:val="24"/>
          <w:szCs w:val="24"/>
        </w:rPr>
        <w:t>This analysis is essential for understanding how climate change may reshape Pacific saury habitats, providing insights for sustainable fisheries management in a rapidly changing ocean (Chang et al., 2018; Hua et al., 2020).</w:t>
      </w:r>
      <w:r w:rsidRPr="006E2F4B">
        <w:rPr>
          <w:sz w:val="24"/>
          <w:szCs w:val="24"/>
        </w:rPr>
        <w:br w:type="page"/>
      </w:r>
    </w:p>
    <w:p w14:paraId="7A9B0D24" w14:textId="77777777" w:rsidR="004A004B" w:rsidRPr="006E2F4B" w:rsidRDefault="004A004B" w:rsidP="004A004B">
      <w:pPr>
        <w:pStyle w:val="ListParagraph"/>
        <w:numPr>
          <w:ilvl w:val="0"/>
          <w:numId w:val="1"/>
        </w:numPr>
        <w:spacing w:line="360" w:lineRule="auto"/>
        <w:ind w:left="360"/>
        <w:rPr>
          <w:b/>
          <w:bCs/>
          <w:sz w:val="24"/>
          <w:szCs w:val="24"/>
        </w:rPr>
      </w:pPr>
      <w:r w:rsidRPr="006E2F4B">
        <w:rPr>
          <w:b/>
          <w:bCs/>
          <w:sz w:val="24"/>
          <w:szCs w:val="24"/>
        </w:rPr>
        <w:lastRenderedPageBreak/>
        <w:t>Materials and Methods</w:t>
      </w:r>
    </w:p>
    <w:p w14:paraId="29541C2F" w14:textId="77777777" w:rsidR="004A004B" w:rsidRPr="006E2F4B" w:rsidRDefault="004A004B" w:rsidP="004A004B">
      <w:pPr>
        <w:pStyle w:val="ListParagraph"/>
        <w:numPr>
          <w:ilvl w:val="1"/>
          <w:numId w:val="1"/>
        </w:numPr>
        <w:spacing w:after="0" w:line="360" w:lineRule="auto"/>
        <w:ind w:left="360"/>
        <w:jc w:val="both"/>
        <w:rPr>
          <w:b/>
          <w:bCs/>
          <w:sz w:val="24"/>
          <w:szCs w:val="24"/>
        </w:rPr>
      </w:pPr>
      <w:r w:rsidRPr="006E2F4B">
        <w:rPr>
          <w:b/>
          <w:bCs/>
          <w:sz w:val="24"/>
          <w:szCs w:val="24"/>
        </w:rPr>
        <w:t>Data collections</w:t>
      </w:r>
    </w:p>
    <w:p w14:paraId="1ACA0587" w14:textId="77777777" w:rsidR="004A004B" w:rsidRPr="006E2F4B" w:rsidRDefault="004A004B" w:rsidP="004A004B">
      <w:pPr>
        <w:spacing w:line="360" w:lineRule="auto"/>
        <w:jc w:val="both"/>
        <w:rPr>
          <w:sz w:val="24"/>
          <w:szCs w:val="24"/>
        </w:rPr>
      </w:pPr>
      <w:r w:rsidRPr="006E2F4B">
        <w:rPr>
          <w:sz w:val="24"/>
          <w:szCs w:val="24"/>
        </w:rPr>
        <w:t>The study focused on the Northwestern Pacific Ocean, specifically within the geographical range of 35°–50°N latitude and 140°–175°E longitude. Data on Pacific saury catch and fishing effort spanning 21 years (2001–2021) were obtained from Taiwan's saury fishery logbooks. Oceanographic data for both historical and projected climate conditions under five different IPCC scenarios were sourced from the Coupled Model Intercomparison Project Phase 6 (CMIP6) database (</w:t>
      </w:r>
      <w:hyperlink r:id="rId7" w:history="1">
        <w:r w:rsidRPr="006E2F4B">
          <w:rPr>
            <w:rStyle w:val="Hyperlink"/>
            <w:sz w:val="24"/>
            <w:szCs w:val="24"/>
          </w:rPr>
          <w:t>https://pcmdi.llnl.gov/CMIP6/</w:t>
        </w:r>
      </w:hyperlink>
      <w:r w:rsidRPr="006E2F4B">
        <w:rPr>
          <w:sz w:val="24"/>
          <w:szCs w:val="24"/>
        </w:rPr>
        <w:t xml:space="preserve">). The key environmental variables that will be used to examine the Pacific saury habitat suitability includes: Sea Surface Temperature (SST, °C), Sea Surface Salinity (SSS, </w:t>
      </w:r>
      <w:proofErr w:type="spellStart"/>
      <w:r w:rsidRPr="006E2F4B">
        <w:rPr>
          <w:sz w:val="24"/>
          <w:szCs w:val="24"/>
        </w:rPr>
        <w:t>psu</w:t>
      </w:r>
      <w:proofErr w:type="spellEnd"/>
      <w:r w:rsidRPr="006E2F4B">
        <w:rPr>
          <w:sz w:val="24"/>
          <w:szCs w:val="24"/>
        </w:rPr>
        <w:t>), Sea Surface Height (SSH, m), Mixed Layer Depth (MLD, m), Dissolved Oxygen (DO, mg L</w:t>
      </w:r>
      <w:r w:rsidRPr="006E2F4B">
        <w:rPr>
          <w:sz w:val="24"/>
          <w:szCs w:val="24"/>
          <w:vertAlign w:val="superscript"/>
        </w:rPr>
        <w:t>-1</w:t>
      </w:r>
      <w:r w:rsidRPr="006E2F4B">
        <w:rPr>
          <w:sz w:val="24"/>
          <w:szCs w:val="24"/>
        </w:rPr>
        <w:t>), Net Primary Production (NPP, mg C m</w:t>
      </w:r>
      <w:r w:rsidRPr="006E2F4B">
        <w:rPr>
          <w:sz w:val="24"/>
          <w:szCs w:val="24"/>
          <w:vertAlign w:val="superscript"/>
        </w:rPr>
        <w:t>−2</w:t>
      </w:r>
      <w:r w:rsidRPr="006E2F4B">
        <w:rPr>
          <w:sz w:val="24"/>
          <w:szCs w:val="24"/>
        </w:rPr>
        <w:t xml:space="preserve"> day</w:t>
      </w:r>
      <w:r w:rsidRPr="006E2F4B">
        <w:rPr>
          <w:sz w:val="24"/>
          <w:szCs w:val="24"/>
          <w:vertAlign w:val="superscript"/>
        </w:rPr>
        <w:t>−1</w:t>
      </w:r>
      <w:r w:rsidRPr="006E2F4B">
        <w:rPr>
          <w:sz w:val="24"/>
          <w:szCs w:val="24"/>
        </w:rPr>
        <w:t>). All the data were processed into a 1° x 1° spatial resolution with monthly temporal resolution for uniformity in analysis.</w:t>
      </w:r>
    </w:p>
    <w:p w14:paraId="5342C656" w14:textId="77777777" w:rsidR="004A004B" w:rsidRPr="006E2F4B" w:rsidRDefault="004A004B" w:rsidP="004A004B">
      <w:pPr>
        <w:pStyle w:val="ListParagraph"/>
        <w:numPr>
          <w:ilvl w:val="1"/>
          <w:numId w:val="1"/>
        </w:numPr>
        <w:spacing w:line="360" w:lineRule="auto"/>
        <w:ind w:left="360"/>
        <w:jc w:val="both"/>
        <w:rPr>
          <w:b/>
          <w:bCs/>
          <w:sz w:val="24"/>
          <w:szCs w:val="24"/>
        </w:rPr>
      </w:pPr>
      <w:r w:rsidRPr="006E2F4B">
        <w:rPr>
          <w:b/>
          <w:bCs/>
          <w:sz w:val="24"/>
          <w:szCs w:val="24"/>
        </w:rPr>
        <w:t>Study framework</w:t>
      </w:r>
    </w:p>
    <w:p w14:paraId="43BFB738" w14:textId="77777777" w:rsidR="004A004B" w:rsidRDefault="004A004B" w:rsidP="004A004B">
      <w:pPr>
        <w:spacing w:line="360" w:lineRule="auto"/>
        <w:jc w:val="both"/>
        <w:rPr>
          <w:sz w:val="24"/>
          <w:szCs w:val="24"/>
        </w:rPr>
      </w:pPr>
      <w:r w:rsidRPr="006E2F4B">
        <w:rPr>
          <w:sz w:val="24"/>
          <w:szCs w:val="24"/>
        </w:rPr>
        <w:t xml:space="preserve">The analysis begins with six key oceanographic variables that influence Pacific saury habitat: SST, SSS, SSH, DO, MLD, and NPP. For each environmental variable, a Suitability Index (SI) is calculated to represent how well each variable supports Pacific saury habitat suitability. The individual SIs are then integrated into an overall Habitat Suitability Index (HSI) using arithmetic mean model (AMM), a composite score reflecting the habitat quality for Pacific saury based on all the environmental factors. </w:t>
      </w:r>
    </w:p>
    <w:p w14:paraId="2CE4C15A" w14:textId="77777777" w:rsidR="004A004B" w:rsidRPr="006E2F4B" w:rsidRDefault="004A004B" w:rsidP="004A004B">
      <w:pPr>
        <w:spacing w:line="360" w:lineRule="auto"/>
        <w:jc w:val="both"/>
        <w:rPr>
          <w:sz w:val="24"/>
          <w:szCs w:val="24"/>
        </w:rPr>
      </w:pPr>
      <w:r w:rsidRPr="006E2F4B">
        <w:rPr>
          <w:sz w:val="24"/>
          <w:szCs w:val="24"/>
        </w:rPr>
        <w:t xml:space="preserve">Three temporal segmentation was defined to observe the shift in Pacific saury </w:t>
      </w:r>
      <w:r>
        <w:rPr>
          <w:sz w:val="24"/>
          <w:szCs w:val="24"/>
        </w:rPr>
        <w:t>HSI; first is h</w:t>
      </w:r>
      <w:r w:rsidRPr="00035F84">
        <w:rPr>
          <w:sz w:val="24"/>
          <w:szCs w:val="24"/>
        </w:rPr>
        <w:t>istorical Period (2001–2014)</w:t>
      </w:r>
      <w:r>
        <w:rPr>
          <w:sz w:val="24"/>
          <w:szCs w:val="24"/>
        </w:rPr>
        <w:t xml:space="preserve"> where</w:t>
      </w:r>
      <w:r w:rsidRPr="00035F84">
        <w:rPr>
          <w:sz w:val="24"/>
          <w:szCs w:val="24"/>
        </w:rPr>
        <w:t xml:space="preserve"> </w:t>
      </w:r>
      <w:r>
        <w:rPr>
          <w:sz w:val="24"/>
          <w:szCs w:val="24"/>
        </w:rPr>
        <w:t xml:space="preserve">this </w:t>
      </w:r>
      <w:r w:rsidRPr="00035F84">
        <w:rPr>
          <w:sz w:val="24"/>
          <w:szCs w:val="24"/>
        </w:rPr>
        <w:t>period serves as the baseline, using past data to establish a model for suitable habitat conditions based on historical oceanographic data.</w:t>
      </w:r>
      <w:r>
        <w:rPr>
          <w:sz w:val="24"/>
          <w:szCs w:val="24"/>
        </w:rPr>
        <w:t xml:space="preserve"> Second is the c</w:t>
      </w:r>
      <w:r w:rsidRPr="006E2F4B">
        <w:rPr>
          <w:sz w:val="24"/>
          <w:szCs w:val="24"/>
        </w:rPr>
        <w:t>urrent Period (2015–2021)</w:t>
      </w:r>
      <w:r>
        <w:rPr>
          <w:sz w:val="24"/>
          <w:szCs w:val="24"/>
        </w:rPr>
        <w:t xml:space="preserve"> where in t</w:t>
      </w:r>
      <w:r w:rsidRPr="006E2F4B">
        <w:rPr>
          <w:sz w:val="24"/>
          <w:szCs w:val="24"/>
        </w:rPr>
        <w:t xml:space="preserve">his period the HSI based </w:t>
      </w:r>
      <w:r>
        <w:rPr>
          <w:sz w:val="24"/>
          <w:szCs w:val="24"/>
        </w:rPr>
        <w:t xml:space="preserve">was estimated </w:t>
      </w:r>
      <w:r w:rsidRPr="006E2F4B">
        <w:rPr>
          <w:sz w:val="24"/>
          <w:szCs w:val="24"/>
        </w:rPr>
        <w:t>on more recent data, allowing for the assessment of current habitat conditions and any recent shifts due to ongoing climate change. In the current period, two source of data was used</w:t>
      </w:r>
      <w:r>
        <w:rPr>
          <w:sz w:val="24"/>
          <w:szCs w:val="24"/>
        </w:rPr>
        <w:t>;</w:t>
      </w:r>
      <w:r w:rsidRPr="006E2F4B">
        <w:rPr>
          <w:sz w:val="24"/>
          <w:szCs w:val="24"/>
        </w:rPr>
        <w:t xml:space="preserve"> </w:t>
      </w:r>
      <w:r>
        <w:rPr>
          <w:sz w:val="24"/>
          <w:szCs w:val="24"/>
        </w:rPr>
        <w:t>a</w:t>
      </w:r>
      <w:r w:rsidRPr="006E2F4B">
        <w:rPr>
          <w:sz w:val="24"/>
          <w:szCs w:val="24"/>
        </w:rPr>
        <w:t xml:space="preserve"> non-scenario related data to represent the current state of environmental variables in the Northwestern </w:t>
      </w:r>
      <w:r w:rsidRPr="006E2F4B">
        <w:rPr>
          <w:sz w:val="24"/>
          <w:szCs w:val="24"/>
        </w:rPr>
        <w:lastRenderedPageBreak/>
        <w:t>Pacific Ocean</w:t>
      </w:r>
      <w:r>
        <w:rPr>
          <w:sz w:val="24"/>
          <w:szCs w:val="24"/>
        </w:rPr>
        <w:t>, and</w:t>
      </w:r>
      <w:r w:rsidRPr="006E2F4B">
        <w:rPr>
          <w:sz w:val="24"/>
          <w:szCs w:val="24"/>
        </w:rPr>
        <w:t xml:space="preserve"> a scenario related data from IPCC AR6 report to observe the distribution of the habitat suitability on a different climate change scenario.</w:t>
      </w:r>
    </w:p>
    <w:p w14:paraId="5EDA63A6" w14:textId="77777777" w:rsidR="004A004B" w:rsidRDefault="004A004B" w:rsidP="004A004B">
      <w:pPr>
        <w:spacing w:line="360" w:lineRule="auto"/>
        <w:jc w:val="both"/>
        <w:rPr>
          <w:sz w:val="24"/>
          <w:szCs w:val="24"/>
        </w:rPr>
      </w:pPr>
      <w:r>
        <w:rPr>
          <w:sz w:val="24"/>
          <w:szCs w:val="24"/>
        </w:rPr>
        <w:t>Third is the f</w:t>
      </w:r>
      <w:r w:rsidRPr="006E2F4B">
        <w:rPr>
          <w:sz w:val="24"/>
          <w:szCs w:val="24"/>
        </w:rPr>
        <w:t xml:space="preserve">uture </w:t>
      </w:r>
      <w:r>
        <w:rPr>
          <w:sz w:val="24"/>
          <w:szCs w:val="24"/>
        </w:rPr>
        <w:t>p</w:t>
      </w:r>
      <w:r w:rsidRPr="006E2F4B">
        <w:rPr>
          <w:sz w:val="24"/>
          <w:szCs w:val="24"/>
        </w:rPr>
        <w:t>rojections (2030, 2050, 2100)</w:t>
      </w:r>
      <w:r>
        <w:rPr>
          <w:sz w:val="24"/>
          <w:szCs w:val="24"/>
        </w:rPr>
        <w:t xml:space="preserve"> where in </w:t>
      </w:r>
      <w:r w:rsidRPr="006E2F4B">
        <w:rPr>
          <w:sz w:val="24"/>
          <w:szCs w:val="24"/>
        </w:rPr>
        <w:t xml:space="preserve">this segment </w:t>
      </w:r>
      <w:r>
        <w:rPr>
          <w:sz w:val="24"/>
          <w:szCs w:val="24"/>
        </w:rPr>
        <w:t xml:space="preserve">the </w:t>
      </w:r>
      <w:r w:rsidRPr="006E2F4B">
        <w:rPr>
          <w:sz w:val="24"/>
          <w:szCs w:val="24"/>
        </w:rPr>
        <w:t xml:space="preserve">potential future changes in habitat suitability under different climate scenarios </w:t>
      </w:r>
      <w:r>
        <w:rPr>
          <w:sz w:val="24"/>
          <w:szCs w:val="24"/>
        </w:rPr>
        <w:t>was assessed u</w:t>
      </w:r>
      <w:r w:rsidRPr="006E2F4B">
        <w:rPr>
          <w:sz w:val="24"/>
          <w:szCs w:val="24"/>
        </w:rPr>
        <w:t>tilizing projections from the IPCC AR6 scenarios (Figure 1).</w:t>
      </w:r>
    </w:p>
    <w:p w14:paraId="456D1A5D" w14:textId="77777777" w:rsidR="004A004B" w:rsidRPr="006E2F4B" w:rsidRDefault="004A004B" w:rsidP="004A004B">
      <w:pPr>
        <w:pStyle w:val="ListParagraph"/>
        <w:numPr>
          <w:ilvl w:val="1"/>
          <w:numId w:val="1"/>
        </w:numPr>
        <w:spacing w:after="0" w:line="360" w:lineRule="auto"/>
        <w:ind w:left="360"/>
        <w:jc w:val="both"/>
        <w:rPr>
          <w:b/>
          <w:bCs/>
          <w:sz w:val="24"/>
          <w:szCs w:val="24"/>
        </w:rPr>
      </w:pPr>
      <w:r w:rsidRPr="006E2F4B">
        <w:rPr>
          <w:b/>
          <w:bCs/>
          <w:sz w:val="24"/>
          <w:szCs w:val="24"/>
        </w:rPr>
        <w:t>SI and HSI calculation</w:t>
      </w:r>
    </w:p>
    <w:p w14:paraId="05994631" w14:textId="77777777" w:rsidR="004A004B" w:rsidRPr="006E2F4B" w:rsidRDefault="004A004B" w:rsidP="004A004B">
      <w:pPr>
        <w:spacing w:after="0" w:line="360" w:lineRule="auto"/>
        <w:jc w:val="both"/>
        <w:rPr>
          <w:sz w:val="24"/>
          <w:szCs w:val="24"/>
        </w:rPr>
      </w:pPr>
      <w:r w:rsidRPr="006E2F4B">
        <w:rPr>
          <w:sz w:val="24"/>
          <w:szCs w:val="24"/>
        </w:rPr>
        <w:t xml:space="preserve">The value of SI for each environmental variable was calculated using the approach outlined by Hua et al. (2020). Class intervals for each variable were established to examine the distribution of Pacific saury catch (in metric tons), fishing effort (measured in day vessels), and catch per unit effort (CPUE) across different environmental conditions. Within each class interval, SI was calculated through effort-based normalization (Eq. 1), with the SI value set to 1 for the class interval with the highest fishing effort (Chen et al., 2009). The SI values were then fitted to corresponding environmental values to identify optimal conditions for each variable. To model the relationship between SI and each environmental factor, the yield-density model was applied (Eq. 2). The model parameters </w:t>
      </w:r>
      <w:r w:rsidRPr="006E2F4B">
        <w:rPr>
          <w:rFonts w:ascii="Cambria Math" w:hAnsi="Cambria Math" w:cs="Cambria Math"/>
          <w:sz w:val="24"/>
          <w:szCs w:val="24"/>
        </w:rPr>
        <w:t>𝑎</w:t>
      </w:r>
      <w:r w:rsidRPr="006E2F4B">
        <w:rPr>
          <w:sz w:val="24"/>
          <w:szCs w:val="24"/>
        </w:rPr>
        <w:t xml:space="preserve">, </w:t>
      </w:r>
      <w:r w:rsidRPr="006E2F4B">
        <w:rPr>
          <w:rFonts w:ascii="Cambria Math" w:hAnsi="Cambria Math" w:cs="Cambria Math"/>
          <w:sz w:val="24"/>
          <w:szCs w:val="24"/>
        </w:rPr>
        <w:t>𝑏</w:t>
      </w:r>
      <w:r w:rsidRPr="006E2F4B">
        <w:rPr>
          <w:sz w:val="24"/>
          <w:szCs w:val="24"/>
        </w:rPr>
        <w:t xml:space="preserve">, and </w:t>
      </w:r>
      <w:r w:rsidRPr="006E2F4B">
        <w:rPr>
          <w:rFonts w:ascii="Cambria Math" w:hAnsi="Cambria Math" w:cs="Cambria Math"/>
          <w:sz w:val="24"/>
          <w:szCs w:val="24"/>
        </w:rPr>
        <w:t>𝑐</w:t>
      </w:r>
      <w:r w:rsidRPr="006E2F4B">
        <w:rPr>
          <w:sz w:val="24"/>
          <w:szCs w:val="24"/>
        </w:rPr>
        <w:t xml:space="preserve"> were initially estimated using the Marquardt method (Marquardt, 1963), and refined using a quasi-Newton method for non-linear least squares optimization (Yabe and Takahashi, 1991). The Habitat Suitability Index (HSI) was calculated by combining SI values across all environmental variables using the AMM model (Eq. 3).</w:t>
      </w:r>
    </w:p>
    <w:p w14:paraId="6426888F" w14:textId="77777777" w:rsidR="004A004B" w:rsidRPr="006E2F4B" w:rsidRDefault="004A004B" w:rsidP="004A004B">
      <w:pPr>
        <w:pStyle w:val="ListParagraph"/>
        <w:numPr>
          <w:ilvl w:val="1"/>
          <w:numId w:val="1"/>
        </w:numPr>
        <w:spacing w:before="240" w:after="0" w:line="360" w:lineRule="auto"/>
        <w:ind w:left="360"/>
        <w:jc w:val="both"/>
        <w:rPr>
          <w:b/>
          <w:bCs/>
          <w:sz w:val="24"/>
          <w:szCs w:val="24"/>
        </w:rPr>
      </w:pPr>
      <w:r w:rsidRPr="006E2F4B">
        <w:rPr>
          <w:b/>
          <w:bCs/>
          <w:sz w:val="24"/>
          <w:szCs w:val="24"/>
        </w:rPr>
        <w:t>Analysis of potential habitat shifts and number of suitable habitat area</w:t>
      </w:r>
    </w:p>
    <w:p w14:paraId="3551D015" w14:textId="77777777" w:rsidR="004A004B" w:rsidRDefault="004A004B" w:rsidP="004A004B">
      <w:pPr>
        <w:spacing w:after="0" w:line="360" w:lineRule="auto"/>
        <w:jc w:val="both"/>
        <w:rPr>
          <w:sz w:val="24"/>
          <w:szCs w:val="24"/>
        </w:rPr>
      </w:pPr>
      <w:r w:rsidRPr="006E2F4B">
        <w:rPr>
          <w:sz w:val="24"/>
          <w:szCs w:val="24"/>
        </w:rPr>
        <w:t>To analyze potential latitudinal and longitudinal shifts in the Pacific saury's suitable habitat, the mean latitude and longitude with HSI values greater than 0.5 were calculated for each year across the three study periods (historical, current, and projected). This approach enabled the assessment of shifts in habitat suitability over time. Additionally, the total area with HSI values above 0.5 was calculated annually within each period to examine yearly variation in the extent of suitable habitat. This analysis helps to visualize both spatial and temporal trends in the distribution of Pacific saury habitats under changing environmental conditions.</w:t>
      </w:r>
    </w:p>
    <w:p w14:paraId="608AAFB0" w14:textId="77777777" w:rsidR="004A004B" w:rsidRPr="006E2F4B" w:rsidRDefault="004A004B" w:rsidP="004A004B">
      <w:pPr>
        <w:pStyle w:val="ListParagraph"/>
        <w:numPr>
          <w:ilvl w:val="0"/>
          <w:numId w:val="1"/>
        </w:numPr>
        <w:spacing w:before="240" w:after="0" w:line="360" w:lineRule="auto"/>
        <w:ind w:left="360"/>
        <w:jc w:val="both"/>
        <w:rPr>
          <w:b/>
          <w:bCs/>
          <w:sz w:val="24"/>
          <w:szCs w:val="24"/>
        </w:rPr>
      </w:pPr>
      <w:r w:rsidRPr="006E2F4B">
        <w:rPr>
          <w:b/>
          <w:bCs/>
          <w:sz w:val="24"/>
          <w:szCs w:val="24"/>
        </w:rPr>
        <w:lastRenderedPageBreak/>
        <w:t xml:space="preserve">Results </w:t>
      </w:r>
    </w:p>
    <w:p w14:paraId="4382D59E" w14:textId="77777777" w:rsidR="004A004B" w:rsidRPr="006E2F4B" w:rsidRDefault="004A004B" w:rsidP="004A004B">
      <w:pPr>
        <w:pStyle w:val="ListParagraph"/>
        <w:numPr>
          <w:ilvl w:val="1"/>
          <w:numId w:val="1"/>
        </w:numPr>
        <w:spacing w:after="0" w:line="360" w:lineRule="auto"/>
        <w:ind w:left="450" w:hanging="450"/>
        <w:jc w:val="both"/>
        <w:rPr>
          <w:b/>
          <w:bCs/>
          <w:sz w:val="24"/>
          <w:szCs w:val="24"/>
        </w:rPr>
      </w:pPr>
      <w:r w:rsidRPr="006E2F4B">
        <w:rPr>
          <w:b/>
          <w:bCs/>
          <w:sz w:val="24"/>
          <w:szCs w:val="24"/>
        </w:rPr>
        <w:t>SI fitting</w:t>
      </w:r>
    </w:p>
    <w:p w14:paraId="0D49F0B5" w14:textId="77777777" w:rsidR="004A004B" w:rsidRPr="006E2F4B" w:rsidRDefault="004A004B" w:rsidP="004A004B">
      <w:pPr>
        <w:spacing w:after="0" w:line="360" w:lineRule="auto"/>
        <w:jc w:val="both"/>
        <w:rPr>
          <w:sz w:val="24"/>
          <w:szCs w:val="24"/>
        </w:rPr>
      </w:pPr>
      <w:r w:rsidRPr="006E2F4B">
        <w:rPr>
          <w:sz w:val="24"/>
          <w:szCs w:val="24"/>
        </w:rPr>
        <w:t xml:space="preserve">The Suitability Index (SI) was fitted to historical oceanographic variables from 2001 to 2014 (Figure 7). Parameters </w:t>
      </w:r>
      <w:r w:rsidRPr="006E2F4B">
        <w:rPr>
          <w:rFonts w:ascii="Cambria Math" w:hAnsi="Cambria Math" w:cs="Cambria Math"/>
          <w:sz w:val="24"/>
          <w:szCs w:val="24"/>
        </w:rPr>
        <w:t>𝑎,</w:t>
      </w:r>
      <w:r w:rsidRPr="006E2F4B">
        <w:rPr>
          <w:sz w:val="24"/>
          <w:szCs w:val="24"/>
        </w:rPr>
        <w:t xml:space="preserve"> </w:t>
      </w:r>
      <w:r w:rsidRPr="006E2F4B">
        <w:rPr>
          <w:rFonts w:ascii="Cambria Math" w:hAnsi="Cambria Math" w:cs="Cambria Math"/>
          <w:sz w:val="24"/>
          <w:szCs w:val="24"/>
        </w:rPr>
        <w:t>𝑏</w:t>
      </w:r>
      <w:r w:rsidRPr="006E2F4B">
        <w:rPr>
          <w:sz w:val="24"/>
          <w:szCs w:val="24"/>
        </w:rPr>
        <w:t xml:space="preserve">, and </w:t>
      </w:r>
      <w:r w:rsidRPr="006E2F4B">
        <w:rPr>
          <w:rFonts w:ascii="Cambria Math" w:hAnsi="Cambria Math" w:cs="Cambria Math"/>
          <w:sz w:val="24"/>
          <w:szCs w:val="24"/>
        </w:rPr>
        <w:t>𝑐</w:t>
      </w:r>
      <w:r w:rsidRPr="006E2F4B">
        <w:rPr>
          <w:sz w:val="24"/>
          <w:szCs w:val="24"/>
        </w:rPr>
        <w:t xml:space="preserve"> for six oceanographic variables—sea surface temperature (SST), sea surface salinity (SSS), sea surface height (SSH), dissolved oxygen (DO), mixed layer depth (MLD), and net primary productivity (NPP)—were determined using the yield-density model. The model achieved high R² values across variables, with the highest for SSH (R² = 0.96) and the lowest for NPP (R² = 0.69), indicating a strong fit in most cases (Table 1). Optimum ranges for each variable were consistent with findings from previous studies; for example, the optimum SST for Pacific saury was estimated to be approximately 14.37°C, aligning with other research suggesting an optimal SST range from 11.41°C to 15.7°C for suitable habitats (Chang et al., 2018; Hua et al., 2020).</w:t>
      </w:r>
    </w:p>
    <w:p w14:paraId="68A40F37" w14:textId="77777777" w:rsidR="004A004B" w:rsidRPr="006E2F4B" w:rsidRDefault="004A004B" w:rsidP="004A004B">
      <w:pPr>
        <w:pStyle w:val="ListParagraph"/>
        <w:numPr>
          <w:ilvl w:val="1"/>
          <w:numId w:val="1"/>
        </w:numPr>
        <w:spacing w:after="0" w:line="360" w:lineRule="auto"/>
        <w:ind w:left="450" w:hanging="450"/>
        <w:jc w:val="both"/>
        <w:rPr>
          <w:b/>
          <w:bCs/>
          <w:sz w:val="24"/>
          <w:szCs w:val="24"/>
        </w:rPr>
      </w:pPr>
      <w:r w:rsidRPr="006E2F4B">
        <w:rPr>
          <w:b/>
          <w:bCs/>
          <w:sz w:val="24"/>
          <w:szCs w:val="24"/>
        </w:rPr>
        <w:t>HSI Distribution</w:t>
      </w:r>
    </w:p>
    <w:p w14:paraId="78E8AB69" w14:textId="77777777" w:rsidR="004A004B" w:rsidRPr="006E2F4B" w:rsidRDefault="004A004B" w:rsidP="004A004B">
      <w:pPr>
        <w:spacing w:after="0" w:line="360" w:lineRule="auto"/>
        <w:jc w:val="both"/>
        <w:rPr>
          <w:sz w:val="24"/>
          <w:szCs w:val="24"/>
        </w:rPr>
      </w:pPr>
      <w:r w:rsidRPr="006E2F4B">
        <w:rPr>
          <w:sz w:val="24"/>
          <w:szCs w:val="24"/>
        </w:rPr>
        <w:t xml:space="preserve">The spatial distribution of Habitat Suitability Index (HSI) values in the historical period revealed that high suitability areas were predominantly concentrated between 35°N and 45°N latitude and 150°E and 165°E longitude. Regions with HSI values exceeding 0.5 were mainly observed between 40°N and 45°N, suggesting stability in Pacific saury's suitable habitats over this period. This stable distribution aligns with historical findings, which highlight consistent habitat suitability within these geographic bounds during past decades (Figure </w:t>
      </w:r>
      <w:r>
        <w:rPr>
          <w:sz w:val="24"/>
          <w:szCs w:val="24"/>
        </w:rPr>
        <w:t>2</w:t>
      </w:r>
      <w:r w:rsidRPr="006E2F4B">
        <w:rPr>
          <w:sz w:val="24"/>
          <w:szCs w:val="24"/>
        </w:rPr>
        <w:t>).</w:t>
      </w:r>
    </w:p>
    <w:p w14:paraId="1104D3B5" w14:textId="77777777" w:rsidR="004A004B" w:rsidRPr="006E2F4B" w:rsidRDefault="004A004B" w:rsidP="004A004B">
      <w:pPr>
        <w:spacing w:before="240" w:after="0" w:line="360" w:lineRule="auto"/>
        <w:jc w:val="both"/>
        <w:rPr>
          <w:sz w:val="24"/>
          <w:szCs w:val="24"/>
        </w:rPr>
      </w:pPr>
      <w:r w:rsidRPr="006E2F4B">
        <w:rPr>
          <w:sz w:val="24"/>
          <w:szCs w:val="24"/>
        </w:rPr>
        <w:t>In the current period, HSI estimated using non scenario related data showed a noticeable northward shift</w:t>
      </w:r>
      <w:r>
        <w:rPr>
          <w:sz w:val="24"/>
          <w:szCs w:val="24"/>
        </w:rPr>
        <w:t xml:space="preserve"> (Figure 4A)</w:t>
      </w:r>
      <w:r w:rsidRPr="006E2F4B">
        <w:rPr>
          <w:sz w:val="24"/>
          <w:szCs w:val="24"/>
        </w:rPr>
        <w:t>. Areas with high HSI values (&gt; 0.5) became more dispersed, indicating a possible reduction in habitat suitability compared to the historical period</w:t>
      </w:r>
      <w:r>
        <w:rPr>
          <w:sz w:val="24"/>
          <w:szCs w:val="24"/>
        </w:rPr>
        <w:t xml:space="preserve"> (Figure 3)</w:t>
      </w:r>
      <w:r w:rsidRPr="006E2F4B">
        <w:rPr>
          <w:sz w:val="24"/>
          <w:szCs w:val="24"/>
        </w:rPr>
        <w:t>. Unlike the stable and concentrated suitable areas of the historical period, recent years have exhibited a more scattered distribution, with suitable habitats extending northward to latitudes above 45°N. In comparing to the different scenario of climate change on the same period, the HSI distribution tend to move northward following the increase in CO</w:t>
      </w:r>
      <w:r w:rsidRPr="006E2F4B">
        <w:rPr>
          <w:sz w:val="24"/>
          <w:szCs w:val="24"/>
          <w:vertAlign w:val="subscript"/>
        </w:rPr>
        <w:t>2</w:t>
      </w:r>
      <w:r w:rsidRPr="006E2F4B">
        <w:rPr>
          <w:sz w:val="24"/>
          <w:szCs w:val="24"/>
        </w:rPr>
        <w:t xml:space="preserve"> emissions. SSP 1-1.9 showed the </w:t>
      </w:r>
      <w:r w:rsidRPr="006E2F4B">
        <w:rPr>
          <w:sz w:val="24"/>
          <w:szCs w:val="24"/>
        </w:rPr>
        <w:lastRenderedPageBreak/>
        <w:t>southernmost HSI distribution while SSP 5-8.5 exhibit a stronger northward shift</w:t>
      </w:r>
      <w:r>
        <w:rPr>
          <w:sz w:val="24"/>
          <w:szCs w:val="24"/>
        </w:rPr>
        <w:t xml:space="preserve"> (Figure 4B)</w:t>
      </w:r>
      <w:r w:rsidRPr="006E2F4B">
        <w:rPr>
          <w:sz w:val="24"/>
          <w:szCs w:val="24"/>
        </w:rPr>
        <w:t xml:space="preserve">. </w:t>
      </w:r>
      <w:r>
        <w:rPr>
          <w:sz w:val="24"/>
          <w:szCs w:val="24"/>
        </w:rPr>
        <w:t xml:space="preserve">Generally, an eastward shift following the increase in </w:t>
      </w:r>
      <w:r w:rsidRPr="00320972">
        <w:rPr>
          <w:sz w:val="24"/>
          <w:szCs w:val="24"/>
        </w:rPr>
        <w:t>CO</w:t>
      </w:r>
      <w:r>
        <w:rPr>
          <w:sz w:val="24"/>
          <w:szCs w:val="24"/>
          <w:vertAlign w:val="subscript"/>
        </w:rPr>
        <w:t>2</w:t>
      </w:r>
      <w:r>
        <w:rPr>
          <w:sz w:val="24"/>
          <w:szCs w:val="24"/>
        </w:rPr>
        <w:t xml:space="preserve"> emissions can be observed from the scenario data (Figure 5A). The </w:t>
      </w:r>
      <w:r w:rsidRPr="006E2F4B">
        <w:rPr>
          <w:sz w:val="24"/>
          <w:szCs w:val="24"/>
        </w:rPr>
        <w:t xml:space="preserve">SSP 2-4.5, SSP 3-7.0, and SSP 5-8.5 scenarios projected more pronounced eastward </w:t>
      </w:r>
      <w:r>
        <w:rPr>
          <w:sz w:val="24"/>
          <w:szCs w:val="24"/>
        </w:rPr>
        <w:t xml:space="preserve">latitudinal </w:t>
      </w:r>
      <w:r w:rsidRPr="006E2F4B">
        <w:rPr>
          <w:sz w:val="24"/>
          <w:szCs w:val="24"/>
        </w:rPr>
        <w:t>shifts in suitable habitats than the one derived from the non-scenario related data, while the SSP 1-1.9 and SSP 1-2.6 exhibited westward trends</w:t>
      </w:r>
      <w:r>
        <w:rPr>
          <w:sz w:val="24"/>
          <w:szCs w:val="24"/>
        </w:rPr>
        <w:t xml:space="preserve"> (Figure 5B)</w:t>
      </w:r>
      <w:r w:rsidRPr="006E2F4B">
        <w:rPr>
          <w:sz w:val="24"/>
          <w:szCs w:val="24"/>
        </w:rPr>
        <w:t xml:space="preserve">. </w:t>
      </w:r>
    </w:p>
    <w:p w14:paraId="013A8446" w14:textId="77777777" w:rsidR="004A004B" w:rsidRDefault="004A004B" w:rsidP="004A004B">
      <w:pPr>
        <w:spacing w:before="240" w:after="0" w:line="360" w:lineRule="auto"/>
        <w:jc w:val="both"/>
        <w:rPr>
          <w:sz w:val="24"/>
          <w:szCs w:val="24"/>
        </w:rPr>
      </w:pPr>
      <w:r w:rsidRPr="006E2F4B">
        <w:rPr>
          <w:sz w:val="24"/>
          <w:szCs w:val="24"/>
        </w:rPr>
        <w:t>In the future projections, initial shifts in habitat suitability were observed in 2050 with scenarios SSP 2-4.5, SSP 3-7.0, and SSP 5-8.5 suggesting a more pronounced eastward spread, with high-suitability regions dispersing across a broader latitudinal and longitudinal range. These shifts contrast with the more moderate movements observed in lower-emission scenarios SSP 1-1.9 and SSP 1-2.6, where suitable habitats remain relatively close to their current ranges, showing some westward movement. In 2050, distinctions between scenarios become clearer. High-emission scenarios SSP 3-7.0 and SSP 5-8.5 project a considerable northward and eastward expansion, with peak suitability expected around or above 46°N. These scenarios also show increased latitudinal spread, indicating that habitat suitability may become more fragmented across the Northwestern Pacific Ocean. Lower-emission scenarios, SSP 1-1.9 and SSP 1-2.6, predict a more conservative northward shift while maintaining closer alignment with current ranges, suggesting less disruption to Pacific saury habitat distribution. In 2100, under SSP 3-7.0 and SSP 5-8.5, high-suitability regions shift significantly northward and eastward. These high-emission scenarios indicate substantial displacement of optimal habitats. Meanwhile, lower-emission scenarios SSP 1-1.9 and SSP 1-2.6 forecast relatively stable suitable regions, with moderate northward and minimal eastward shifts, keeping the habitat within a range more similar to historical conditions.</w:t>
      </w:r>
    </w:p>
    <w:p w14:paraId="3CF129C7" w14:textId="77777777" w:rsidR="004A004B" w:rsidRDefault="004A004B" w:rsidP="004A004B">
      <w:pPr>
        <w:pStyle w:val="ListParagraph"/>
        <w:numPr>
          <w:ilvl w:val="1"/>
          <w:numId w:val="1"/>
        </w:numPr>
        <w:spacing w:before="240" w:after="0" w:line="360" w:lineRule="auto"/>
        <w:ind w:left="450" w:hanging="450"/>
        <w:jc w:val="both"/>
        <w:rPr>
          <w:b/>
          <w:bCs/>
          <w:sz w:val="24"/>
          <w:szCs w:val="24"/>
        </w:rPr>
      </w:pPr>
      <w:r w:rsidRPr="00A75FA6">
        <w:rPr>
          <w:b/>
          <w:bCs/>
          <w:sz w:val="24"/>
          <w:szCs w:val="24"/>
        </w:rPr>
        <w:t>Number of suitable habitat area across the Northwestern Pacific Ocean</w:t>
      </w:r>
    </w:p>
    <w:p w14:paraId="0ADC818D" w14:textId="77777777" w:rsidR="004A004B" w:rsidRDefault="004A004B" w:rsidP="004A004B">
      <w:pPr>
        <w:spacing w:before="240" w:after="0" w:line="360" w:lineRule="auto"/>
        <w:jc w:val="both"/>
        <w:rPr>
          <w:sz w:val="24"/>
          <w:szCs w:val="24"/>
        </w:rPr>
      </w:pPr>
      <w:r w:rsidRPr="00822105">
        <w:rPr>
          <w:sz w:val="24"/>
          <w:szCs w:val="24"/>
        </w:rPr>
        <w:t xml:space="preserve">The Suitable Habitat Area (SHA) plot shows how the habitat for Pacific saury, defined as areas with HSI &gt; 0.5, changes from historical periods to future projections under various SSP scenarios. </w:t>
      </w:r>
      <w:r w:rsidRPr="00822105">
        <w:rPr>
          <w:sz w:val="24"/>
          <w:szCs w:val="24"/>
        </w:rPr>
        <w:lastRenderedPageBreak/>
        <w:t>During the historical period (2001-2014), SHA remained stable, indicating consistent conditions for saury. In the current period (2015-2021), SHA shows a slight decline, suggesting early effects of climate change, with warming temperatures pushing habitats northward.</w:t>
      </w:r>
    </w:p>
    <w:p w14:paraId="0F085D87" w14:textId="77777777" w:rsidR="004A004B" w:rsidRPr="00822105" w:rsidRDefault="004A004B" w:rsidP="004A004B">
      <w:pPr>
        <w:spacing w:before="240" w:after="0" w:line="360" w:lineRule="auto"/>
        <w:jc w:val="both"/>
        <w:rPr>
          <w:b/>
          <w:bCs/>
          <w:sz w:val="24"/>
          <w:szCs w:val="24"/>
        </w:rPr>
      </w:pPr>
      <w:r w:rsidRPr="00822105">
        <w:rPr>
          <w:sz w:val="24"/>
          <w:szCs w:val="24"/>
        </w:rPr>
        <w:t>Future projections indicate a stark contrast based on emission levels. Under lower-emission scenarios (SSP 1-1.9 and SSP 1-2.6), SHA decreases moderately, preserving more habitat within traditional ranges. Higher-emission scenarios (SSP 3-7.0 and SSP 5-8.5) show a steep decline in SHA by 2100, potentially displacing saury from traditional fishing grounds. These trends highlight the importance of emissions mitigation to sustain saury habitats and support fisheries.</w:t>
      </w:r>
    </w:p>
    <w:p w14:paraId="165D5EB8" w14:textId="192FAB9A" w:rsidR="004A004B" w:rsidRDefault="004A004B" w:rsidP="004A004B">
      <w:pPr>
        <w:jc w:val="center"/>
        <w:rPr>
          <w:b/>
          <w:bCs/>
          <w:sz w:val="24"/>
          <w:szCs w:val="24"/>
        </w:rPr>
      </w:pPr>
      <w:r>
        <w:rPr>
          <w:b/>
          <w:bCs/>
          <w:sz w:val="24"/>
          <w:szCs w:val="24"/>
        </w:rPr>
        <w:t>References</w:t>
      </w:r>
    </w:p>
    <w:p w14:paraId="170764E8" w14:textId="77777777" w:rsidR="004A004B" w:rsidRDefault="004A004B" w:rsidP="004A004B">
      <w:pPr>
        <w:ind w:left="900" w:hanging="900"/>
        <w:jc w:val="both"/>
        <w:rPr>
          <w:sz w:val="24"/>
          <w:szCs w:val="24"/>
        </w:rPr>
      </w:pPr>
      <w:r w:rsidRPr="00392A03">
        <w:rPr>
          <w:sz w:val="24"/>
          <w:szCs w:val="24"/>
        </w:rPr>
        <w:t xml:space="preserve">Chang, Y. J., Lan, K. W., Walsh, W. A., &amp; Hsu, J. (2018). Modelling the impacts of oceanographic variation on habitat suitability for Pacific saury in the Northwestern Pacific Ocean. </w:t>
      </w:r>
      <w:r w:rsidRPr="00392A03">
        <w:rPr>
          <w:i/>
          <w:iCs/>
          <w:sz w:val="24"/>
          <w:szCs w:val="24"/>
        </w:rPr>
        <w:t>Fisheries Oceanography, 27</w:t>
      </w:r>
      <w:r w:rsidRPr="00392A03">
        <w:rPr>
          <w:sz w:val="24"/>
          <w:szCs w:val="24"/>
        </w:rPr>
        <w:t xml:space="preserve">, 1–14. </w:t>
      </w:r>
      <w:hyperlink r:id="rId8" w:history="1">
        <w:r w:rsidRPr="00407BD5">
          <w:rPr>
            <w:rStyle w:val="Hyperlink"/>
            <w:sz w:val="24"/>
            <w:szCs w:val="24"/>
          </w:rPr>
          <w:t>https://doi.org/10.1111/fog.12408</w:t>
        </w:r>
      </w:hyperlink>
      <w:r>
        <w:rPr>
          <w:sz w:val="24"/>
          <w:szCs w:val="24"/>
        </w:rPr>
        <w:tab/>
      </w:r>
    </w:p>
    <w:p w14:paraId="11B6C444" w14:textId="77777777" w:rsidR="004A004B" w:rsidRPr="00392A03" w:rsidRDefault="004A004B" w:rsidP="004A004B">
      <w:pPr>
        <w:ind w:left="900" w:hanging="900"/>
        <w:jc w:val="both"/>
        <w:rPr>
          <w:sz w:val="24"/>
          <w:szCs w:val="24"/>
        </w:rPr>
      </w:pPr>
      <w:r w:rsidRPr="00392A03">
        <w:rPr>
          <w:sz w:val="24"/>
          <w:szCs w:val="24"/>
        </w:rPr>
        <w:t>Chen, X. J., Li, G., Feng, B., &amp; Tian, S. Q. (2009). Habitat suitability index of Chub mackerel (</w:t>
      </w:r>
      <w:proofErr w:type="spellStart"/>
      <w:r w:rsidRPr="00392A03">
        <w:rPr>
          <w:i/>
          <w:iCs/>
          <w:sz w:val="24"/>
          <w:szCs w:val="24"/>
        </w:rPr>
        <w:t>Scomber</w:t>
      </w:r>
      <w:proofErr w:type="spellEnd"/>
      <w:r w:rsidRPr="00392A03">
        <w:rPr>
          <w:i/>
          <w:iCs/>
          <w:sz w:val="24"/>
          <w:szCs w:val="24"/>
        </w:rPr>
        <w:t xml:space="preserve"> japonicus</w:t>
      </w:r>
      <w:r w:rsidRPr="00392A03">
        <w:rPr>
          <w:sz w:val="24"/>
          <w:szCs w:val="24"/>
        </w:rPr>
        <w:t xml:space="preserve">) from July to September in the East China Sea. </w:t>
      </w:r>
      <w:r w:rsidRPr="00392A03">
        <w:rPr>
          <w:i/>
          <w:iCs/>
          <w:sz w:val="24"/>
          <w:szCs w:val="24"/>
        </w:rPr>
        <w:t>Journal of Oceanography,65</w:t>
      </w:r>
      <w:r w:rsidRPr="00392A03">
        <w:rPr>
          <w:sz w:val="24"/>
          <w:szCs w:val="24"/>
        </w:rPr>
        <w:t xml:space="preserve">,93–102. </w:t>
      </w:r>
      <w:hyperlink r:id="rId9" w:history="1">
        <w:r w:rsidRPr="00407BD5">
          <w:rPr>
            <w:rStyle w:val="Hyperlink"/>
            <w:sz w:val="24"/>
            <w:szCs w:val="24"/>
          </w:rPr>
          <w:t>http://qdhys.ijournal.cn/hyyhz/ch/reader/create_pdf.aspx?file_no=200906006&amp;year_id=2009&amp;quarter_id=6&amp;falg=1</w:t>
        </w:r>
      </w:hyperlink>
      <w:r w:rsidRPr="00392A03">
        <w:rPr>
          <w:sz w:val="24"/>
          <w:szCs w:val="24"/>
        </w:rPr>
        <w:t>.</w:t>
      </w:r>
      <w:r>
        <w:rPr>
          <w:sz w:val="24"/>
          <w:szCs w:val="24"/>
        </w:rPr>
        <w:tab/>
      </w:r>
    </w:p>
    <w:p w14:paraId="2B943015" w14:textId="77777777" w:rsidR="004A004B" w:rsidRPr="00392A03" w:rsidRDefault="004A004B" w:rsidP="004A004B">
      <w:pPr>
        <w:ind w:left="900" w:hanging="900"/>
        <w:jc w:val="both"/>
        <w:rPr>
          <w:sz w:val="24"/>
          <w:szCs w:val="24"/>
        </w:rPr>
      </w:pPr>
      <w:r w:rsidRPr="00392A03">
        <w:rPr>
          <w:sz w:val="24"/>
          <w:szCs w:val="24"/>
        </w:rPr>
        <w:t>Hua, C., Li, F., Zhu, Q., Zhu, G., &amp; Meng, L. (2020). Habitat suitability of Pacific saury (</w:t>
      </w:r>
      <w:proofErr w:type="spellStart"/>
      <w:r w:rsidRPr="00392A03">
        <w:rPr>
          <w:i/>
          <w:iCs/>
          <w:sz w:val="24"/>
          <w:szCs w:val="24"/>
        </w:rPr>
        <w:t>Cololabis</w:t>
      </w:r>
      <w:proofErr w:type="spellEnd"/>
      <w:r w:rsidRPr="00392A03">
        <w:rPr>
          <w:i/>
          <w:iCs/>
          <w:sz w:val="24"/>
          <w:szCs w:val="24"/>
        </w:rPr>
        <w:t xml:space="preserve"> </w:t>
      </w:r>
      <w:proofErr w:type="spellStart"/>
      <w:r w:rsidRPr="00392A03">
        <w:rPr>
          <w:i/>
          <w:iCs/>
          <w:sz w:val="24"/>
          <w:szCs w:val="24"/>
        </w:rPr>
        <w:t>saira</w:t>
      </w:r>
      <w:proofErr w:type="spellEnd"/>
      <w:r w:rsidRPr="00392A03">
        <w:rPr>
          <w:sz w:val="24"/>
          <w:szCs w:val="24"/>
        </w:rPr>
        <w:t xml:space="preserve">) based on a yield-density model and weighted analysis. </w:t>
      </w:r>
      <w:r w:rsidRPr="00392A03">
        <w:rPr>
          <w:i/>
          <w:iCs/>
          <w:sz w:val="24"/>
          <w:szCs w:val="24"/>
        </w:rPr>
        <w:t xml:space="preserve">Fisheries Research, 221, </w:t>
      </w:r>
      <w:r w:rsidRPr="00392A03">
        <w:rPr>
          <w:sz w:val="24"/>
          <w:szCs w:val="24"/>
        </w:rPr>
        <w:t xml:space="preserve">105408. </w:t>
      </w:r>
      <w:hyperlink r:id="rId10" w:history="1">
        <w:r w:rsidRPr="00407BD5">
          <w:rPr>
            <w:rStyle w:val="Hyperlink"/>
            <w:sz w:val="24"/>
            <w:szCs w:val="24"/>
          </w:rPr>
          <w:t>https://doi.org/10.1016/j.fishres.2019.105408</w:t>
        </w:r>
      </w:hyperlink>
      <w:r>
        <w:rPr>
          <w:sz w:val="24"/>
          <w:szCs w:val="24"/>
        </w:rPr>
        <w:tab/>
      </w:r>
    </w:p>
    <w:p w14:paraId="6F056520" w14:textId="77777777" w:rsidR="004A004B" w:rsidRDefault="004A004B" w:rsidP="004A004B">
      <w:pPr>
        <w:ind w:left="900" w:hanging="900"/>
        <w:jc w:val="both"/>
        <w:rPr>
          <w:sz w:val="24"/>
          <w:szCs w:val="24"/>
        </w:rPr>
      </w:pPr>
      <w:r w:rsidRPr="00392A03">
        <w:rPr>
          <w:sz w:val="24"/>
          <w:szCs w:val="24"/>
        </w:rPr>
        <w:t>Liu, S., Liu, Y., Li, J., et al. (2022). Effects of oceanographic environment on the distribution and migration of Pacific saury (</w:t>
      </w:r>
      <w:proofErr w:type="spellStart"/>
      <w:r w:rsidRPr="00392A03">
        <w:rPr>
          <w:i/>
          <w:iCs/>
          <w:sz w:val="24"/>
          <w:szCs w:val="24"/>
        </w:rPr>
        <w:t>Cololabis</w:t>
      </w:r>
      <w:proofErr w:type="spellEnd"/>
      <w:r w:rsidRPr="00392A03">
        <w:rPr>
          <w:i/>
          <w:iCs/>
          <w:sz w:val="24"/>
          <w:szCs w:val="24"/>
        </w:rPr>
        <w:t xml:space="preserve"> </w:t>
      </w:r>
      <w:proofErr w:type="spellStart"/>
      <w:r w:rsidRPr="00392A03">
        <w:rPr>
          <w:i/>
          <w:iCs/>
          <w:sz w:val="24"/>
          <w:szCs w:val="24"/>
        </w:rPr>
        <w:t>saira</w:t>
      </w:r>
      <w:proofErr w:type="spellEnd"/>
      <w:r w:rsidRPr="00392A03">
        <w:rPr>
          <w:sz w:val="24"/>
          <w:szCs w:val="24"/>
        </w:rPr>
        <w:t xml:space="preserve">) during the main fishing season. </w:t>
      </w:r>
      <w:r w:rsidRPr="00392A03">
        <w:rPr>
          <w:i/>
          <w:iCs/>
          <w:sz w:val="24"/>
          <w:szCs w:val="24"/>
        </w:rPr>
        <w:t xml:space="preserve">Scientific Reports, 12, </w:t>
      </w:r>
      <w:r w:rsidRPr="00392A03">
        <w:rPr>
          <w:sz w:val="24"/>
          <w:szCs w:val="24"/>
        </w:rPr>
        <w:t xml:space="preserve">13585. </w:t>
      </w:r>
      <w:hyperlink r:id="rId11" w:history="1">
        <w:r w:rsidRPr="00407BD5">
          <w:rPr>
            <w:rStyle w:val="Hyperlink"/>
            <w:sz w:val="24"/>
            <w:szCs w:val="24"/>
          </w:rPr>
          <w:t>https://doi.org/10.1038/s41598-022-17786-9</w:t>
        </w:r>
      </w:hyperlink>
    </w:p>
    <w:p w14:paraId="3D05721D" w14:textId="77777777" w:rsidR="004A004B" w:rsidRPr="00392A03" w:rsidRDefault="004A004B" w:rsidP="004A004B">
      <w:pPr>
        <w:ind w:left="900" w:hanging="900"/>
        <w:jc w:val="both"/>
        <w:rPr>
          <w:sz w:val="24"/>
          <w:szCs w:val="24"/>
        </w:rPr>
      </w:pPr>
      <w:r w:rsidRPr="00392A03">
        <w:rPr>
          <w:sz w:val="24"/>
          <w:szCs w:val="24"/>
        </w:rPr>
        <w:t xml:space="preserve">Marquardt, M. D. (1963). An algorithm for least-squares estimation of nonlinear parameters. </w:t>
      </w:r>
      <w:r w:rsidRPr="00392A03">
        <w:rPr>
          <w:i/>
          <w:iCs/>
          <w:sz w:val="24"/>
          <w:szCs w:val="24"/>
        </w:rPr>
        <w:t>Journal of the Society for Industrial and Applied Mathematics, 11</w:t>
      </w:r>
      <w:r w:rsidRPr="00392A03">
        <w:rPr>
          <w:sz w:val="24"/>
          <w:szCs w:val="24"/>
        </w:rPr>
        <w:t xml:space="preserve">, 431–441. </w:t>
      </w:r>
      <w:hyperlink r:id="rId12" w:history="1">
        <w:r w:rsidRPr="00407BD5">
          <w:rPr>
            <w:rStyle w:val="Hyperlink"/>
            <w:sz w:val="24"/>
            <w:szCs w:val="24"/>
          </w:rPr>
          <w:t>https://doi.org/10.1137/0111030</w:t>
        </w:r>
      </w:hyperlink>
      <w:r>
        <w:rPr>
          <w:sz w:val="24"/>
          <w:szCs w:val="24"/>
        </w:rPr>
        <w:tab/>
      </w:r>
    </w:p>
    <w:p w14:paraId="14F7952F" w14:textId="77777777" w:rsidR="004A004B" w:rsidRDefault="004A004B" w:rsidP="004A004B">
      <w:pPr>
        <w:ind w:left="900" w:hanging="900"/>
        <w:rPr>
          <w:sz w:val="24"/>
          <w:szCs w:val="24"/>
        </w:rPr>
      </w:pPr>
      <w:proofErr w:type="spellStart"/>
      <w:r w:rsidRPr="00A75FA6">
        <w:rPr>
          <w:sz w:val="24"/>
          <w:szCs w:val="24"/>
        </w:rPr>
        <w:t>Sarre</w:t>
      </w:r>
      <w:proofErr w:type="spellEnd"/>
      <w:r w:rsidRPr="00A75FA6">
        <w:rPr>
          <w:sz w:val="24"/>
          <w:szCs w:val="24"/>
        </w:rPr>
        <w:t xml:space="preserve">, A., </w:t>
      </w:r>
      <w:proofErr w:type="spellStart"/>
      <w:r w:rsidRPr="00A75FA6">
        <w:rPr>
          <w:sz w:val="24"/>
          <w:szCs w:val="24"/>
        </w:rPr>
        <w:t>Demarcq</w:t>
      </w:r>
      <w:proofErr w:type="spellEnd"/>
      <w:r w:rsidRPr="00A75FA6">
        <w:rPr>
          <w:sz w:val="24"/>
          <w:szCs w:val="24"/>
        </w:rPr>
        <w:t xml:space="preserve">, H., </w:t>
      </w:r>
      <w:proofErr w:type="spellStart"/>
      <w:r w:rsidRPr="00A75FA6">
        <w:rPr>
          <w:sz w:val="24"/>
          <w:szCs w:val="24"/>
        </w:rPr>
        <w:t>Keenlyside</w:t>
      </w:r>
      <w:proofErr w:type="spellEnd"/>
      <w:r w:rsidRPr="00A75FA6">
        <w:rPr>
          <w:sz w:val="24"/>
          <w:szCs w:val="24"/>
        </w:rPr>
        <w:t xml:space="preserve">, N., et al. (2024). Climate change impacts on small pelagic fish distribution in Northwest Africa: Trends, shifts, and risk for food security. </w:t>
      </w:r>
      <w:r w:rsidRPr="00392A03">
        <w:rPr>
          <w:i/>
          <w:iCs/>
          <w:sz w:val="24"/>
          <w:szCs w:val="24"/>
        </w:rPr>
        <w:t>Scientific Reports, 14,</w:t>
      </w:r>
      <w:r w:rsidRPr="00A75FA6">
        <w:rPr>
          <w:sz w:val="24"/>
          <w:szCs w:val="24"/>
        </w:rPr>
        <w:t xml:space="preserve"> 12684. </w:t>
      </w:r>
      <w:hyperlink r:id="rId13" w:history="1">
        <w:r w:rsidRPr="00407BD5">
          <w:rPr>
            <w:rStyle w:val="Hyperlink"/>
            <w:sz w:val="24"/>
            <w:szCs w:val="24"/>
          </w:rPr>
          <w:t>https://doi.org/10.1038/s41598-024-61734-8</w:t>
        </w:r>
      </w:hyperlink>
    </w:p>
    <w:p w14:paraId="7922ECF5" w14:textId="77777777" w:rsidR="004A004B" w:rsidRDefault="004A004B" w:rsidP="004A004B">
      <w:pPr>
        <w:ind w:left="900" w:hanging="900"/>
        <w:rPr>
          <w:sz w:val="24"/>
          <w:szCs w:val="24"/>
        </w:rPr>
      </w:pPr>
      <w:r w:rsidRPr="00A75FA6">
        <w:rPr>
          <w:sz w:val="24"/>
          <w:szCs w:val="24"/>
        </w:rPr>
        <w:lastRenderedPageBreak/>
        <w:t xml:space="preserve">North Pacific Fisheries Commission. (2022). </w:t>
      </w:r>
      <w:r w:rsidRPr="00392A03">
        <w:rPr>
          <w:i/>
          <w:iCs/>
          <w:sz w:val="24"/>
          <w:szCs w:val="24"/>
        </w:rPr>
        <w:t>10th Small Scientific Committee on Pacific Saury Meeting Report</w:t>
      </w:r>
      <w:r w:rsidRPr="00A75FA6">
        <w:rPr>
          <w:sz w:val="24"/>
          <w:szCs w:val="24"/>
        </w:rPr>
        <w:t xml:space="preserve"> (NPFC-2022-SSC PS10-Final Report 62). </w:t>
      </w:r>
      <w:hyperlink r:id="rId14" w:history="1">
        <w:r w:rsidRPr="00407BD5">
          <w:rPr>
            <w:rStyle w:val="Hyperlink"/>
            <w:sz w:val="24"/>
            <w:szCs w:val="24"/>
          </w:rPr>
          <w:t>https://www.npfc.int/sites/default/files/2023-02/SSC%20PS10%20report.pdf</w:t>
        </w:r>
      </w:hyperlink>
    </w:p>
    <w:p w14:paraId="4BE97EBF" w14:textId="77777777" w:rsidR="004A004B" w:rsidRDefault="004A004B" w:rsidP="004A004B">
      <w:pPr>
        <w:ind w:left="900" w:hanging="900"/>
        <w:rPr>
          <w:sz w:val="24"/>
          <w:szCs w:val="24"/>
        </w:rPr>
      </w:pPr>
      <w:r w:rsidRPr="00392A03">
        <w:rPr>
          <w:sz w:val="24"/>
          <w:szCs w:val="24"/>
        </w:rPr>
        <w:t>Tian, Y. J., Ueno, Y., Suda, M., &amp; Akamine, T. (2002). Climate-ocean variability and the response of Pacific saury (</w:t>
      </w:r>
      <w:proofErr w:type="spellStart"/>
      <w:r w:rsidRPr="00392A03">
        <w:rPr>
          <w:i/>
          <w:iCs/>
          <w:sz w:val="24"/>
          <w:szCs w:val="24"/>
        </w:rPr>
        <w:t>Cololabis</w:t>
      </w:r>
      <w:proofErr w:type="spellEnd"/>
      <w:r w:rsidRPr="00392A03">
        <w:rPr>
          <w:i/>
          <w:iCs/>
          <w:sz w:val="24"/>
          <w:szCs w:val="24"/>
        </w:rPr>
        <w:t xml:space="preserve"> </w:t>
      </w:r>
      <w:proofErr w:type="spellStart"/>
      <w:r w:rsidRPr="00392A03">
        <w:rPr>
          <w:i/>
          <w:iCs/>
          <w:sz w:val="24"/>
          <w:szCs w:val="24"/>
        </w:rPr>
        <w:t>saira</w:t>
      </w:r>
      <w:proofErr w:type="spellEnd"/>
      <w:r w:rsidRPr="00392A03">
        <w:rPr>
          <w:sz w:val="24"/>
          <w:szCs w:val="24"/>
        </w:rPr>
        <w:t xml:space="preserve">) in the northwestern Pacific during the last half century. </w:t>
      </w:r>
      <w:r w:rsidRPr="00392A03">
        <w:rPr>
          <w:i/>
          <w:iCs/>
          <w:sz w:val="24"/>
          <w:szCs w:val="24"/>
        </w:rPr>
        <w:t>Fisheries Science, 68,</w:t>
      </w:r>
      <w:r w:rsidRPr="00392A03">
        <w:rPr>
          <w:sz w:val="24"/>
          <w:szCs w:val="24"/>
        </w:rPr>
        <w:t xml:space="preserve"> 158–161. </w:t>
      </w:r>
      <w:hyperlink r:id="rId15" w:history="1">
        <w:r w:rsidRPr="00407BD5">
          <w:rPr>
            <w:rStyle w:val="Hyperlink"/>
            <w:sz w:val="24"/>
            <w:szCs w:val="24"/>
          </w:rPr>
          <w:t>https://doi.org/10.2331/fishsci.68.sup1_158</w:t>
        </w:r>
      </w:hyperlink>
      <w:r>
        <w:rPr>
          <w:sz w:val="24"/>
          <w:szCs w:val="24"/>
        </w:rPr>
        <w:tab/>
      </w:r>
    </w:p>
    <w:p w14:paraId="57B03615" w14:textId="77777777" w:rsidR="004A004B" w:rsidRDefault="004A004B" w:rsidP="004A004B">
      <w:pPr>
        <w:ind w:left="900" w:hanging="900"/>
        <w:rPr>
          <w:sz w:val="24"/>
          <w:szCs w:val="24"/>
        </w:rPr>
      </w:pPr>
      <w:r w:rsidRPr="00392A03">
        <w:rPr>
          <w:sz w:val="24"/>
          <w:szCs w:val="24"/>
        </w:rPr>
        <w:t>Tseng, C. T., Sun, C. L., Yeh, S. Z., Chen, S. C., Su, W. C., &amp; Liu, D. C. (2011). Influence of climate-driven sea surface temperature increase on potential habitats of the Pacific saury (</w:t>
      </w:r>
      <w:proofErr w:type="spellStart"/>
      <w:r w:rsidRPr="00392A03">
        <w:rPr>
          <w:i/>
          <w:iCs/>
          <w:sz w:val="24"/>
          <w:szCs w:val="24"/>
        </w:rPr>
        <w:t>Cololabis</w:t>
      </w:r>
      <w:proofErr w:type="spellEnd"/>
      <w:r w:rsidRPr="00392A03">
        <w:rPr>
          <w:i/>
          <w:iCs/>
          <w:sz w:val="24"/>
          <w:szCs w:val="24"/>
        </w:rPr>
        <w:t xml:space="preserve"> </w:t>
      </w:r>
      <w:proofErr w:type="spellStart"/>
      <w:r w:rsidRPr="00392A03">
        <w:rPr>
          <w:i/>
          <w:iCs/>
          <w:sz w:val="24"/>
          <w:szCs w:val="24"/>
        </w:rPr>
        <w:t>saira</w:t>
      </w:r>
      <w:proofErr w:type="spellEnd"/>
      <w:r w:rsidRPr="00392A03">
        <w:rPr>
          <w:sz w:val="24"/>
          <w:szCs w:val="24"/>
        </w:rPr>
        <w:t xml:space="preserve">). </w:t>
      </w:r>
      <w:r w:rsidRPr="00392A03">
        <w:rPr>
          <w:i/>
          <w:iCs/>
          <w:sz w:val="24"/>
          <w:szCs w:val="24"/>
        </w:rPr>
        <w:t>ICES Journal of Marine Science, 68</w:t>
      </w:r>
      <w:r w:rsidRPr="00392A03">
        <w:rPr>
          <w:sz w:val="24"/>
          <w:szCs w:val="24"/>
        </w:rPr>
        <w:t>, 1105–1113.</w:t>
      </w:r>
      <w:r w:rsidRPr="00392A03">
        <w:t xml:space="preserve"> </w:t>
      </w:r>
      <w:hyperlink r:id="rId16" w:history="1">
        <w:r w:rsidRPr="00407BD5">
          <w:rPr>
            <w:rStyle w:val="Hyperlink"/>
            <w:sz w:val="24"/>
            <w:szCs w:val="24"/>
          </w:rPr>
          <w:t>https://doi.org/10.1093/icesjms/fsr070</w:t>
        </w:r>
      </w:hyperlink>
      <w:r>
        <w:rPr>
          <w:sz w:val="24"/>
          <w:szCs w:val="24"/>
        </w:rPr>
        <w:tab/>
      </w:r>
    </w:p>
    <w:p w14:paraId="1E17B586" w14:textId="77777777" w:rsidR="004A004B" w:rsidRDefault="004A004B" w:rsidP="004A004B">
      <w:pPr>
        <w:ind w:left="900" w:hanging="900"/>
        <w:rPr>
          <w:sz w:val="24"/>
          <w:szCs w:val="24"/>
        </w:rPr>
      </w:pPr>
      <w:r w:rsidRPr="00392A03">
        <w:rPr>
          <w:sz w:val="24"/>
          <w:szCs w:val="24"/>
        </w:rPr>
        <w:t xml:space="preserve">Yabe, H., &amp; Takahashi, T. (1991). Factorized quasi-Newton methods for nonlinear least squares problems. </w:t>
      </w:r>
      <w:r w:rsidRPr="00392A03">
        <w:rPr>
          <w:i/>
          <w:iCs/>
          <w:sz w:val="24"/>
          <w:szCs w:val="24"/>
        </w:rPr>
        <w:t>Mathematical Programming, 51,</w:t>
      </w:r>
      <w:r w:rsidRPr="00392A03">
        <w:rPr>
          <w:sz w:val="24"/>
          <w:szCs w:val="24"/>
        </w:rPr>
        <w:t xml:space="preserve"> 75–100. </w:t>
      </w:r>
      <w:hyperlink r:id="rId17" w:history="1">
        <w:r w:rsidRPr="00407BD5">
          <w:rPr>
            <w:rStyle w:val="Hyperlink"/>
            <w:sz w:val="24"/>
            <w:szCs w:val="24"/>
          </w:rPr>
          <w:t>https://doi.org/10.1007/BF01586927</w:t>
        </w:r>
      </w:hyperlink>
      <w:r>
        <w:rPr>
          <w:sz w:val="24"/>
          <w:szCs w:val="24"/>
        </w:rPr>
        <w:tab/>
      </w:r>
    </w:p>
    <w:p w14:paraId="0E9B8CC1" w14:textId="77777777" w:rsidR="004A004B" w:rsidRDefault="004A004B" w:rsidP="004A004B">
      <w:pPr>
        <w:rPr>
          <w:b/>
          <w:bCs/>
          <w:sz w:val="24"/>
          <w:szCs w:val="24"/>
        </w:rPr>
      </w:pPr>
      <w:r>
        <w:rPr>
          <w:b/>
          <w:bCs/>
          <w:sz w:val="24"/>
          <w:szCs w:val="24"/>
        </w:rPr>
        <w:br w:type="page"/>
      </w:r>
    </w:p>
    <w:p w14:paraId="00738F00" w14:textId="77777777" w:rsidR="004A004B" w:rsidRDefault="004A004B" w:rsidP="004A004B">
      <w:pPr>
        <w:jc w:val="center"/>
        <w:rPr>
          <w:b/>
          <w:bCs/>
          <w:sz w:val="24"/>
          <w:szCs w:val="24"/>
        </w:rPr>
      </w:pPr>
      <w:r>
        <w:rPr>
          <w:b/>
          <w:bCs/>
          <w:sz w:val="24"/>
          <w:szCs w:val="24"/>
        </w:rPr>
        <w:lastRenderedPageBreak/>
        <w:t>TABLE</w:t>
      </w:r>
    </w:p>
    <w:p w14:paraId="6C41A008" w14:textId="77777777" w:rsidR="004A004B" w:rsidRPr="00320972" w:rsidRDefault="004A004B" w:rsidP="004A004B">
      <w:pPr>
        <w:ind w:left="990" w:hanging="990"/>
        <w:jc w:val="both"/>
        <w:rPr>
          <w:sz w:val="24"/>
          <w:szCs w:val="24"/>
        </w:rPr>
      </w:pPr>
      <w:r w:rsidRPr="00320972">
        <w:rPr>
          <w:sz w:val="24"/>
          <w:szCs w:val="24"/>
        </w:rPr>
        <w:t>Table 1. Fitted suitability index parameters based on the yield-density model from the historical period</w:t>
      </w:r>
    </w:p>
    <w:tbl>
      <w:tblPr>
        <w:tblW w:w="9160" w:type="dxa"/>
        <w:tblCellMar>
          <w:left w:w="0" w:type="dxa"/>
          <w:right w:w="0" w:type="dxa"/>
        </w:tblCellMar>
        <w:tblLook w:val="0600" w:firstRow="0" w:lastRow="0" w:firstColumn="0" w:lastColumn="0" w:noHBand="1" w:noVBand="1"/>
      </w:tblPr>
      <w:tblGrid>
        <w:gridCol w:w="1083"/>
        <w:gridCol w:w="1082"/>
        <w:gridCol w:w="1082"/>
        <w:gridCol w:w="1263"/>
        <w:gridCol w:w="902"/>
        <w:gridCol w:w="1724"/>
        <w:gridCol w:w="942"/>
        <w:gridCol w:w="1082"/>
      </w:tblGrid>
      <w:tr w:rsidR="004A004B" w:rsidRPr="00320972" w14:paraId="6EAA6BB3" w14:textId="77777777" w:rsidTr="00BC707D">
        <w:trPr>
          <w:trHeight w:val="412"/>
        </w:trPr>
        <w:tc>
          <w:tcPr>
            <w:tcW w:w="1080" w:type="dxa"/>
            <w:vMerge w:val="restart"/>
            <w:tcBorders>
              <w:top w:val="single" w:sz="18" w:space="0" w:color="000000"/>
              <w:left w:val="nil"/>
              <w:bottom w:val="single" w:sz="8" w:space="0" w:color="000000"/>
              <w:right w:val="nil"/>
            </w:tcBorders>
            <w:shd w:val="clear" w:color="auto" w:fill="FFFFFF"/>
            <w:tcMar>
              <w:top w:w="15" w:type="dxa"/>
              <w:left w:w="15" w:type="dxa"/>
              <w:bottom w:w="0" w:type="dxa"/>
              <w:right w:w="15" w:type="dxa"/>
            </w:tcMar>
            <w:vAlign w:val="center"/>
            <w:hideMark/>
          </w:tcPr>
          <w:p w14:paraId="2CA5331E" w14:textId="77777777" w:rsidR="004A004B" w:rsidRPr="00320972" w:rsidRDefault="004A004B" w:rsidP="00BC707D">
            <w:pPr>
              <w:jc w:val="center"/>
              <w:rPr>
                <w:b/>
                <w:bCs/>
                <w:sz w:val="24"/>
                <w:szCs w:val="24"/>
              </w:rPr>
            </w:pPr>
            <w:r w:rsidRPr="00320972">
              <w:rPr>
                <w:b/>
                <w:bCs/>
                <w:sz w:val="24"/>
                <w:szCs w:val="24"/>
              </w:rPr>
              <w:t>Variable</w:t>
            </w:r>
          </w:p>
        </w:tc>
        <w:tc>
          <w:tcPr>
            <w:tcW w:w="3420" w:type="dxa"/>
            <w:gridSpan w:val="3"/>
            <w:tcBorders>
              <w:top w:val="single" w:sz="18" w:space="0" w:color="000000"/>
              <w:left w:val="nil"/>
              <w:bottom w:val="nil"/>
              <w:right w:val="nil"/>
            </w:tcBorders>
            <w:shd w:val="clear" w:color="auto" w:fill="FFFFFF"/>
            <w:tcMar>
              <w:top w:w="15" w:type="dxa"/>
              <w:left w:w="15" w:type="dxa"/>
              <w:bottom w:w="0" w:type="dxa"/>
              <w:right w:w="15" w:type="dxa"/>
            </w:tcMar>
            <w:vAlign w:val="center"/>
            <w:hideMark/>
          </w:tcPr>
          <w:p w14:paraId="58A6CD9B" w14:textId="77777777" w:rsidR="004A004B" w:rsidRPr="00320972" w:rsidRDefault="004A004B" w:rsidP="00BC707D">
            <w:pPr>
              <w:jc w:val="center"/>
              <w:rPr>
                <w:b/>
                <w:bCs/>
                <w:sz w:val="24"/>
                <w:szCs w:val="24"/>
              </w:rPr>
            </w:pPr>
            <w:r w:rsidRPr="00320972">
              <w:rPr>
                <w:b/>
                <w:bCs/>
                <w:sz w:val="24"/>
                <w:szCs w:val="24"/>
              </w:rPr>
              <w:t>Model parameter</w:t>
            </w:r>
          </w:p>
        </w:tc>
        <w:tc>
          <w:tcPr>
            <w:tcW w:w="900" w:type="dxa"/>
            <w:vMerge w:val="restart"/>
            <w:tcBorders>
              <w:top w:val="single" w:sz="18" w:space="0" w:color="000000"/>
              <w:left w:val="nil"/>
              <w:bottom w:val="single" w:sz="8" w:space="0" w:color="000000"/>
              <w:right w:val="nil"/>
            </w:tcBorders>
            <w:shd w:val="clear" w:color="auto" w:fill="FFFFFF"/>
            <w:tcMar>
              <w:top w:w="15" w:type="dxa"/>
              <w:left w:w="15" w:type="dxa"/>
              <w:bottom w:w="0" w:type="dxa"/>
              <w:right w:w="15" w:type="dxa"/>
            </w:tcMar>
            <w:vAlign w:val="center"/>
            <w:hideMark/>
          </w:tcPr>
          <w:p w14:paraId="122A86A2" w14:textId="77777777" w:rsidR="004A004B" w:rsidRPr="00320972" w:rsidRDefault="004A004B" w:rsidP="00BC707D">
            <w:pPr>
              <w:jc w:val="center"/>
              <w:rPr>
                <w:b/>
                <w:bCs/>
                <w:sz w:val="24"/>
                <w:szCs w:val="24"/>
              </w:rPr>
            </w:pPr>
            <w:r w:rsidRPr="00320972">
              <w:rPr>
                <w:b/>
                <w:bCs/>
                <w:sz w:val="24"/>
                <w:szCs w:val="24"/>
              </w:rPr>
              <w:t>R</w:t>
            </w:r>
            <w:r w:rsidRPr="00320972">
              <w:rPr>
                <w:b/>
                <w:bCs/>
                <w:sz w:val="24"/>
                <w:szCs w:val="24"/>
                <w:vertAlign w:val="superscript"/>
              </w:rPr>
              <w:t>2</w:t>
            </w:r>
          </w:p>
        </w:tc>
        <w:tc>
          <w:tcPr>
            <w:tcW w:w="1720" w:type="dxa"/>
            <w:vMerge w:val="restart"/>
            <w:tcBorders>
              <w:top w:val="single" w:sz="18" w:space="0" w:color="000000"/>
              <w:left w:val="nil"/>
              <w:bottom w:val="single" w:sz="8" w:space="0" w:color="000000"/>
              <w:right w:val="nil"/>
            </w:tcBorders>
            <w:shd w:val="clear" w:color="auto" w:fill="FFFFFF"/>
            <w:tcMar>
              <w:top w:w="15" w:type="dxa"/>
              <w:left w:w="15" w:type="dxa"/>
              <w:bottom w:w="0" w:type="dxa"/>
              <w:right w:w="15" w:type="dxa"/>
            </w:tcMar>
            <w:vAlign w:val="center"/>
            <w:hideMark/>
          </w:tcPr>
          <w:p w14:paraId="047BA7BB" w14:textId="77777777" w:rsidR="004A004B" w:rsidRPr="00320972" w:rsidRDefault="004A004B" w:rsidP="00BC707D">
            <w:pPr>
              <w:jc w:val="center"/>
              <w:rPr>
                <w:b/>
                <w:bCs/>
                <w:sz w:val="24"/>
                <w:szCs w:val="24"/>
              </w:rPr>
            </w:pPr>
            <w:r w:rsidRPr="00320972">
              <w:rPr>
                <w:b/>
                <w:bCs/>
                <w:sz w:val="24"/>
                <w:szCs w:val="24"/>
              </w:rPr>
              <w:t>Optimum</w:t>
            </w:r>
          </w:p>
        </w:tc>
        <w:tc>
          <w:tcPr>
            <w:tcW w:w="2020" w:type="dxa"/>
            <w:gridSpan w:val="2"/>
            <w:tcBorders>
              <w:top w:val="single" w:sz="18" w:space="0" w:color="000000"/>
              <w:left w:val="nil"/>
              <w:bottom w:val="nil"/>
              <w:right w:val="nil"/>
            </w:tcBorders>
            <w:shd w:val="clear" w:color="auto" w:fill="FFFFFF"/>
            <w:tcMar>
              <w:top w:w="15" w:type="dxa"/>
              <w:left w:w="15" w:type="dxa"/>
              <w:bottom w:w="0" w:type="dxa"/>
              <w:right w:w="15" w:type="dxa"/>
            </w:tcMar>
            <w:vAlign w:val="center"/>
            <w:hideMark/>
          </w:tcPr>
          <w:p w14:paraId="16DE713A" w14:textId="77777777" w:rsidR="004A004B" w:rsidRPr="00320972" w:rsidRDefault="004A004B" w:rsidP="00BC707D">
            <w:pPr>
              <w:jc w:val="center"/>
              <w:rPr>
                <w:b/>
                <w:bCs/>
                <w:sz w:val="24"/>
                <w:szCs w:val="24"/>
              </w:rPr>
            </w:pPr>
            <w:r w:rsidRPr="00320972">
              <w:rPr>
                <w:b/>
                <w:bCs/>
                <w:sz w:val="24"/>
                <w:szCs w:val="24"/>
              </w:rPr>
              <w:t>95% Conf Int</w:t>
            </w:r>
          </w:p>
        </w:tc>
      </w:tr>
      <w:tr w:rsidR="004A004B" w:rsidRPr="00320972" w14:paraId="33CE98F4" w14:textId="77777777" w:rsidTr="00BC707D">
        <w:trPr>
          <w:trHeight w:val="412"/>
        </w:trPr>
        <w:tc>
          <w:tcPr>
            <w:tcW w:w="0" w:type="auto"/>
            <w:vMerge/>
            <w:tcBorders>
              <w:top w:val="single" w:sz="18" w:space="0" w:color="000000"/>
              <w:left w:val="nil"/>
              <w:bottom w:val="single" w:sz="8" w:space="0" w:color="000000"/>
              <w:right w:val="nil"/>
            </w:tcBorders>
            <w:vAlign w:val="center"/>
            <w:hideMark/>
          </w:tcPr>
          <w:p w14:paraId="1AF2A39F" w14:textId="77777777" w:rsidR="004A004B" w:rsidRPr="00320972" w:rsidRDefault="004A004B" w:rsidP="00BC707D">
            <w:pPr>
              <w:jc w:val="center"/>
              <w:rPr>
                <w:b/>
                <w:bCs/>
                <w:sz w:val="24"/>
                <w:szCs w:val="24"/>
              </w:rPr>
            </w:pPr>
          </w:p>
        </w:tc>
        <w:tc>
          <w:tcPr>
            <w:tcW w:w="1080" w:type="dxa"/>
            <w:tcBorders>
              <w:top w:val="nil"/>
              <w:left w:val="nil"/>
              <w:bottom w:val="single" w:sz="8" w:space="0" w:color="000000"/>
              <w:right w:val="nil"/>
            </w:tcBorders>
            <w:shd w:val="clear" w:color="auto" w:fill="FFFFFF"/>
            <w:tcMar>
              <w:top w:w="15" w:type="dxa"/>
              <w:left w:w="15" w:type="dxa"/>
              <w:bottom w:w="0" w:type="dxa"/>
              <w:right w:w="15" w:type="dxa"/>
            </w:tcMar>
            <w:vAlign w:val="center"/>
            <w:hideMark/>
          </w:tcPr>
          <w:p w14:paraId="697BCC52" w14:textId="77777777" w:rsidR="004A004B" w:rsidRPr="00320972" w:rsidRDefault="004A004B" w:rsidP="00BC707D">
            <w:pPr>
              <w:jc w:val="center"/>
              <w:rPr>
                <w:b/>
                <w:bCs/>
                <w:sz w:val="24"/>
                <w:szCs w:val="24"/>
              </w:rPr>
            </w:pPr>
            <w:r w:rsidRPr="00320972">
              <w:rPr>
                <w:b/>
                <w:bCs/>
                <w:sz w:val="24"/>
                <w:szCs w:val="24"/>
              </w:rPr>
              <w:t>a</w:t>
            </w:r>
          </w:p>
        </w:tc>
        <w:tc>
          <w:tcPr>
            <w:tcW w:w="1080" w:type="dxa"/>
            <w:tcBorders>
              <w:top w:val="nil"/>
              <w:left w:val="nil"/>
              <w:bottom w:val="single" w:sz="8" w:space="0" w:color="000000"/>
              <w:right w:val="nil"/>
            </w:tcBorders>
            <w:shd w:val="clear" w:color="auto" w:fill="FFFFFF"/>
            <w:tcMar>
              <w:top w:w="15" w:type="dxa"/>
              <w:left w:w="15" w:type="dxa"/>
              <w:bottom w:w="0" w:type="dxa"/>
              <w:right w:w="15" w:type="dxa"/>
            </w:tcMar>
            <w:vAlign w:val="center"/>
            <w:hideMark/>
          </w:tcPr>
          <w:p w14:paraId="4D5A6385" w14:textId="77777777" w:rsidR="004A004B" w:rsidRPr="00320972" w:rsidRDefault="004A004B" w:rsidP="00BC707D">
            <w:pPr>
              <w:jc w:val="center"/>
              <w:rPr>
                <w:b/>
                <w:bCs/>
                <w:sz w:val="24"/>
                <w:szCs w:val="24"/>
              </w:rPr>
            </w:pPr>
            <w:r w:rsidRPr="00320972">
              <w:rPr>
                <w:b/>
                <w:bCs/>
                <w:sz w:val="24"/>
                <w:szCs w:val="24"/>
              </w:rPr>
              <w:t>b</w:t>
            </w:r>
          </w:p>
        </w:tc>
        <w:tc>
          <w:tcPr>
            <w:tcW w:w="1260" w:type="dxa"/>
            <w:tcBorders>
              <w:top w:val="nil"/>
              <w:left w:val="nil"/>
              <w:bottom w:val="single" w:sz="8" w:space="0" w:color="000000"/>
              <w:right w:val="nil"/>
            </w:tcBorders>
            <w:shd w:val="clear" w:color="auto" w:fill="FFFFFF"/>
            <w:tcMar>
              <w:top w:w="15" w:type="dxa"/>
              <w:left w:w="15" w:type="dxa"/>
              <w:bottom w:w="0" w:type="dxa"/>
              <w:right w:w="15" w:type="dxa"/>
            </w:tcMar>
            <w:vAlign w:val="center"/>
            <w:hideMark/>
          </w:tcPr>
          <w:p w14:paraId="1FA8B737" w14:textId="77777777" w:rsidR="004A004B" w:rsidRPr="00320972" w:rsidRDefault="004A004B" w:rsidP="00BC707D">
            <w:pPr>
              <w:jc w:val="center"/>
              <w:rPr>
                <w:b/>
                <w:bCs/>
                <w:sz w:val="24"/>
                <w:szCs w:val="24"/>
              </w:rPr>
            </w:pPr>
            <w:r w:rsidRPr="00320972">
              <w:rPr>
                <w:b/>
                <w:bCs/>
                <w:sz w:val="24"/>
                <w:szCs w:val="24"/>
              </w:rPr>
              <w:t>c</w:t>
            </w:r>
          </w:p>
        </w:tc>
        <w:tc>
          <w:tcPr>
            <w:tcW w:w="0" w:type="auto"/>
            <w:vMerge/>
            <w:tcBorders>
              <w:top w:val="single" w:sz="18" w:space="0" w:color="000000"/>
              <w:left w:val="nil"/>
              <w:bottom w:val="single" w:sz="8" w:space="0" w:color="000000"/>
              <w:right w:val="nil"/>
            </w:tcBorders>
            <w:vAlign w:val="center"/>
            <w:hideMark/>
          </w:tcPr>
          <w:p w14:paraId="268980EA" w14:textId="77777777" w:rsidR="004A004B" w:rsidRPr="00320972" w:rsidRDefault="004A004B" w:rsidP="00BC707D">
            <w:pPr>
              <w:jc w:val="center"/>
              <w:rPr>
                <w:b/>
                <w:bCs/>
                <w:sz w:val="24"/>
                <w:szCs w:val="24"/>
              </w:rPr>
            </w:pPr>
          </w:p>
        </w:tc>
        <w:tc>
          <w:tcPr>
            <w:tcW w:w="0" w:type="auto"/>
            <w:vMerge/>
            <w:tcBorders>
              <w:top w:val="single" w:sz="18" w:space="0" w:color="000000"/>
              <w:left w:val="nil"/>
              <w:bottom w:val="single" w:sz="8" w:space="0" w:color="000000"/>
              <w:right w:val="nil"/>
            </w:tcBorders>
            <w:vAlign w:val="center"/>
            <w:hideMark/>
          </w:tcPr>
          <w:p w14:paraId="042352E0" w14:textId="77777777" w:rsidR="004A004B" w:rsidRPr="00320972" w:rsidRDefault="004A004B" w:rsidP="00BC707D">
            <w:pPr>
              <w:jc w:val="center"/>
              <w:rPr>
                <w:b/>
                <w:bCs/>
                <w:sz w:val="24"/>
                <w:szCs w:val="24"/>
              </w:rPr>
            </w:pPr>
          </w:p>
        </w:tc>
        <w:tc>
          <w:tcPr>
            <w:tcW w:w="940" w:type="dxa"/>
            <w:tcBorders>
              <w:top w:val="nil"/>
              <w:left w:val="nil"/>
              <w:bottom w:val="single" w:sz="8" w:space="0" w:color="000000"/>
              <w:right w:val="nil"/>
            </w:tcBorders>
            <w:shd w:val="clear" w:color="auto" w:fill="FFFFFF"/>
            <w:tcMar>
              <w:top w:w="15" w:type="dxa"/>
              <w:left w:w="15" w:type="dxa"/>
              <w:bottom w:w="0" w:type="dxa"/>
              <w:right w:w="15" w:type="dxa"/>
            </w:tcMar>
            <w:vAlign w:val="center"/>
            <w:hideMark/>
          </w:tcPr>
          <w:p w14:paraId="5A2F01E3" w14:textId="77777777" w:rsidR="004A004B" w:rsidRPr="00320972" w:rsidRDefault="004A004B" w:rsidP="00BC707D">
            <w:pPr>
              <w:jc w:val="center"/>
              <w:rPr>
                <w:b/>
                <w:bCs/>
                <w:sz w:val="24"/>
                <w:szCs w:val="24"/>
              </w:rPr>
            </w:pPr>
            <w:r w:rsidRPr="00320972">
              <w:rPr>
                <w:b/>
                <w:bCs/>
                <w:sz w:val="24"/>
                <w:szCs w:val="24"/>
              </w:rPr>
              <w:t>Lower</w:t>
            </w:r>
          </w:p>
        </w:tc>
        <w:tc>
          <w:tcPr>
            <w:tcW w:w="1080" w:type="dxa"/>
            <w:tcBorders>
              <w:top w:val="nil"/>
              <w:left w:val="nil"/>
              <w:bottom w:val="single" w:sz="8" w:space="0" w:color="000000"/>
              <w:right w:val="nil"/>
            </w:tcBorders>
            <w:shd w:val="clear" w:color="auto" w:fill="FFFFFF"/>
            <w:tcMar>
              <w:top w:w="15" w:type="dxa"/>
              <w:left w:w="15" w:type="dxa"/>
              <w:bottom w:w="0" w:type="dxa"/>
              <w:right w:w="15" w:type="dxa"/>
            </w:tcMar>
            <w:vAlign w:val="center"/>
            <w:hideMark/>
          </w:tcPr>
          <w:p w14:paraId="5868493D" w14:textId="77777777" w:rsidR="004A004B" w:rsidRPr="00320972" w:rsidRDefault="004A004B" w:rsidP="00BC707D">
            <w:pPr>
              <w:jc w:val="center"/>
              <w:rPr>
                <w:b/>
                <w:bCs/>
                <w:sz w:val="24"/>
                <w:szCs w:val="24"/>
              </w:rPr>
            </w:pPr>
            <w:r w:rsidRPr="00320972">
              <w:rPr>
                <w:b/>
                <w:bCs/>
                <w:sz w:val="24"/>
                <w:szCs w:val="24"/>
              </w:rPr>
              <w:t>Upper</w:t>
            </w:r>
          </w:p>
        </w:tc>
      </w:tr>
      <w:tr w:rsidR="004A004B" w:rsidRPr="00320972" w14:paraId="55A0BD73" w14:textId="77777777" w:rsidTr="00BC707D">
        <w:trPr>
          <w:trHeight w:val="412"/>
        </w:trPr>
        <w:tc>
          <w:tcPr>
            <w:tcW w:w="1080" w:type="dxa"/>
            <w:tcBorders>
              <w:top w:val="single" w:sz="8" w:space="0" w:color="000000"/>
              <w:left w:val="nil"/>
              <w:bottom w:val="nil"/>
              <w:right w:val="nil"/>
            </w:tcBorders>
            <w:shd w:val="clear" w:color="auto" w:fill="FFFFFF"/>
            <w:tcMar>
              <w:top w:w="15" w:type="dxa"/>
              <w:left w:w="15" w:type="dxa"/>
              <w:bottom w:w="0" w:type="dxa"/>
              <w:right w:w="15" w:type="dxa"/>
            </w:tcMar>
            <w:vAlign w:val="center"/>
            <w:hideMark/>
          </w:tcPr>
          <w:p w14:paraId="17CEA2C8" w14:textId="77777777" w:rsidR="004A004B" w:rsidRPr="00320972" w:rsidRDefault="004A004B" w:rsidP="00BC707D">
            <w:pPr>
              <w:jc w:val="center"/>
              <w:rPr>
                <w:sz w:val="24"/>
                <w:szCs w:val="24"/>
              </w:rPr>
            </w:pPr>
            <w:r w:rsidRPr="00320972">
              <w:rPr>
                <w:sz w:val="24"/>
                <w:szCs w:val="24"/>
              </w:rPr>
              <w:t>SST</w:t>
            </w:r>
          </w:p>
        </w:tc>
        <w:tc>
          <w:tcPr>
            <w:tcW w:w="1080" w:type="dxa"/>
            <w:tcBorders>
              <w:top w:val="single" w:sz="8" w:space="0" w:color="000000"/>
              <w:left w:val="nil"/>
              <w:bottom w:val="nil"/>
              <w:right w:val="nil"/>
            </w:tcBorders>
            <w:shd w:val="clear" w:color="auto" w:fill="FFFFFF"/>
            <w:tcMar>
              <w:top w:w="15" w:type="dxa"/>
              <w:left w:w="15" w:type="dxa"/>
              <w:bottom w:w="0" w:type="dxa"/>
              <w:right w:w="15" w:type="dxa"/>
            </w:tcMar>
            <w:vAlign w:val="center"/>
            <w:hideMark/>
          </w:tcPr>
          <w:p w14:paraId="6D4799D6" w14:textId="77777777" w:rsidR="004A004B" w:rsidRPr="00320972" w:rsidRDefault="004A004B" w:rsidP="00BC707D">
            <w:pPr>
              <w:jc w:val="center"/>
              <w:rPr>
                <w:sz w:val="24"/>
                <w:szCs w:val="24"/>
              </w:rPr>
            </w:pPr>
            <w:r w:rsidRPr="00320972">
              <w:rPr>
                <w:sz w:val="24"/>
                <w:szCs w:val="24"/>
              </w:rPr>
              <w:t>34.42</w:t>
            </w:r>
          </w:p>
        </w:tc>
        <w:tc>
          <w:tcPr>
            <w:tcW w:w="1080" w:type="dxa"/>
            <w:tcBorders>
              <w:top w:val="single" w:sz="8" w:space="0" w:color="000000"/>
              <w:left w:val="nil"/>
              <w:bottom w:val="nil"/>
              <w:right w:val="nil"/>
            </w:tcBorders>
            <w:shd w:val="clear" w:color="auto" w:fill="FFFFFF"/>
            <w:tcMar>
              <w:top w:w="15" w:type="dxa"/>
              <w:left w:w="15" w:type="dxa"/>
              <w:bottom w:w="0" w:type="dxa"/>
              <w:right w:w="15" w:type="dxa"/>
            </w:tcMar>
            <w:vAlign w:val="center"/>
            <w:hideMark/>
          </w:tcPr>
          <w:p w14:paraId="6EE59602" w14:textId="77777777" w:rsidR="004A004B" w:rsidRPr="00320972" w:rsidRDefault="004A004B" w:rsidP="00BC707D">
            <w:pPr>
              <w:jc w:val="center"/>
              <w:rPr>
                <w:sz w:val="24"/>
                <w:szCs w:val="24"/>
              </w:rPr>
            </w:pPr>
            <w:r w:rsidRPr="00320972">
              <w:rPr>
                <w:sz w:val="24"/>
                <w:szCs w:val="24"/>
              </w:rPr>
              <w:t>-4.64</w:t>
            </w:r>
          </w:p>
        </w:tc>
        <w:tc>
          <w:tcPr>
            <w:tcW w:w="1260" w:type="dxa"/>
            <w:tcBorders>
              <w:top w:val="single" w:sz="8" w:space="0" w:color="000000"/>
              <w:left w:val="nil"/>
              <w:bottom w:val="nil"/>
              <w:right w:val="nil"/>
            </w:tcBorders>
            <w:shd w:val="clear" w:color="auto" w:fill="FFFFFF"/>
            <w:tcMar>
              <w:top w:w="15" w:type="dxa"/>
              <w:left w:w="15" w:type="dxa"/>
              <w:bottom w:w="0" w:type="dxa"/>
              <w:right w:w="15" w:type="dxa"/>
            </w:tcMar>
            <w:vAlign w:val="center"/>
            <w:hideMark/>
          </w:tcPr>
          <w:p w14:paraId="78B8C0E3" w14:textId="77777777" w:rsidR="004A004B" w:rsidRPr="00320972" w:rsidRDefault="004A004B" w:rsidP="00BC707D">
            <w:pPr>
              <w:jc w:val="center"/>
              <w:rPr>
                <w:sz w:val="24"/>
                <w:szCs w:val="24"/>
              </w:rPr>
            </w:pPr>
            <w:r w:rsidRPr="00320972">
              <w:rPr>
                <w:sz w:val="24"/>
                <w:szCs w:val="24"/>
              </w:rPr>
              <w:t>0.16</w:t>
            </w:r>
          </w:p>
        </w:tc>
        <w:tc>
          <w:tcPr>
            <w:tcW w:w="900" w:type="dxa"/>
            <w:tcBorders>
              <w:top w:val="single" w:sz="8" w:space="0" w:color="000000"/>
              <w:left w:val="nil"/>
              <w:bottom w:val="nil"/>
              <w:right w:val="nil"/>
            </w:tcBorders>
            <w:shd w:val="clear" w:color="auto" w:fill="FFFFFF"/>
            <w:tcMar>
              <w:top w:w="15" w:type="dxa"/>
              <w:left w:w="15" w:type="dxa"/>
              <w:bottom w:w="0" w:type="dxa"/>
              <w:right w:w="15" w:type="dxa"/>
            </w:tcMar>
            <w:vAlign w:val="center"/>
            <w:hideMark/>
          </w:tcPr>
          <w:p w14:paraId="62CCAF89" w14:textId="77777777" w:rsidR="004A004B" w:rsidRPr="00320972" w:rsidRDefault="004A004B" w:rsidP="00BC707D">
            <w:pPr>
              <w:jc w:val="center"/>
              <w:rPr>
                <w:sz w:val="24"/>
                <w:szCs w:val="24"/>
              </w:rPr>
            </w:pPr>
            <w:r w:rsidRPr="00320972">
              <w:rPr>
                <w:sz w:val="24"/>
                <w:szCs w:val="24"/>
              </w:rPr>
              <w:t>0.95</w:t>
            </w:r>
          </w:p>
        </w:tc>
        <w:tc>
          <w:tcPr>
            <w:tcW w:w="1720" w:type="dxa"/>
            <w:tcBorders>
              <w:top w:val="single" w:sz="8" w:space="0" w:color="000000"/>
              <w:left w:val="nil"/>
              <w:bottom w:val="nil"/>
              <w:right w:val="nil"/>
            </w:tcBorders>
            <w:shd w:val="clear" w:color="auto" w:fill="FFFFFF"/>
            <w:tcMar>
              <w:top w:w="15" w:type="dxa"/>
              <w:left w:w="15" w:type="dxa"/>
              <w:bottom w:w="0" w:type="dxa"/>
              <w:right w:w="15" w:type="dxa"/>
            </w:tcMar>
            <w:vAlign w:val="center"/>
            <w:hideMark/>
          </w:tcPr>
          <w:p w14:paraId="61770A56" w14:textId="77777777" w:rsidR="004A004B" w:rsidRPr="00320972" w:rsidRDefault="004A004B" w:rsidP="00BC707D">
            <w:pPr>
              <w:jc w:val="center"/>
              <w:rPr>
                <w:sz w:val="24"/>
                <w:szCs w:val="24"/>
              </w:rPr>
            </w:pPr>
            <w:r w:rsidRPr="00320972">
              <w:rPr>
                <w:sz w:val="24"/>
                <w:szCs w:val="24"/>
              </w:rPr>
              <w:t>14.37±0.45</w:t>
            </w:r>
          </w:p>
        </w:tc>
        <w:tc>
          <w:tcPr>
            <w:tcW w:w="940" w:type="dxa"/>
            <w:tcBorders>
              <w:top w:val="single" w:sz="8" w:space="0" w:color="000000"/>
              <w:left w:val="nil"/>
              <w:bottom w:val="nil"/>
              <w:right w:val="nil"/>
            </w:tcBorders>
            <w:shd w:val="clear" w:color="auto" w:fill="FFFFFF"/>
            <w:tcMar>
              <w:top w:w="15" w:type="dxa"/>
              <w:left w:w="15" w:type="dxa"/>
              <w:bottom w:w="0" w:type="dxa"/>
              <w:right w:w="15" w:type="dxa"/>
            </w:tcMar>
            <w:vAlign w:val="center"/>
            <w:hideMark/>
          </w:tcPr>
          <w:p w14:paraId="2ED470D7" w14:textId="77777777" w:rsidR="004A004B" w:rsidRPr="00320972" w:rsidRDefault="004A004B" w:rsidP="00BC707D">
            <w:pPr>
              <w:jc w:val="center"/>
              <w:rPr>
                <w:sz w:val="24"/>
                <w:szCs w:val="24"/>
              </w:rPr>
            </w:pPr>
            <w:r w:rsidRPr="00320972">
              <w:rPr>
                <w:sz w:val="24"/>
                <w:szCs w:val="24"/>
              </w:rPr>
              <w:t>14.11</w:t>
            </w:r>
          </w:p>
        </w:tc>
        <w:tc>
          <w:tcPr>
            <w:tcW w:w="1080" w:type="dxa"/>
            <w:tcBorders>
              <w:top w:val="single" w:sz="8" w:space="0" w:color="000000"/>
              <w:left w:val="nil"/>
              <w:bottom w:val="nil"/>
              <w:right w:val="nil"/>
            </w:tcBorders>
            <w:shd w:val="clear" w:color="auto" w:fill="FFFFFF"/>
            <w:tcMar>
              <w:top w:w="15" w:type="dxa"/>
              <w:left w:w="15" w:type="dxa"/>
              <w:bottom w:w="0" w:type="dxa"/>
              <w:right w:w="15" w:type="dxa"/>
            </w:tcMar>
            <w:vAlign w:val="center"/>
            <w:hideMark/>
          </w:tcPr>
          <w:p w14:paraId="26F9BBA7" w14:textId="77777777" w:rsidR="004A004B" w:rsidRPr="00320972" w:rsidRDefault="004A004B" w:rsidP="00BC707D">
            <w:pPr>
              <w:jc w:val="center"/>
              <w:rPr>
                <w:sz w:val="24"/>
                <w:szCs w:val="24"/>
              </w:rPr>
            </w:pPr>
            <w:r w:rsidRPr="00320972">
              <w:rPr>
                <w:sz w:val="24"/>
                <w:szCs w:val="24"/>
              </w:rPr>
              <w:t>14.62</w:t>
            </w:r>
          </w:p>
        </w:tc>
      </w:tr>
      <w:tr w:rsidR="004A004B" w:rsidRPr="00320972" w14:paraId="35035894" w14:textId="77777777" w:rsidTr="00BC707D">
        <w:trPr>
          <w:trHeight w:val="412"/>
        </w:trPr>
        <w:tc>
          <w:tcPr>
            <w:tcW w:w="1080" w:type="dxa"/>
            <w:tcBorders>
              <w:top w:val="nil"/>
              <w:left w:val="nil"/>
              <w:bottom w:val="nil"/>
              <w:right w:val="nil"/>
            </w:tcBorders>
            <w:shd w:val="clear" w:color="auto" w:fill="FFFFFF"/>
            <w:tcMar>
              <w:top w:w="15" w:type="dxa"/>
              <w:left w:w="15" w:type="dxa"/>
              <w:bottom w:w="0" w:type="dxa"/>
              <w:right w:w="15" w:type="dxa"/>
            </w:tcMar>
            <w:vAlign w:val="center"/>
            <w:hideMark/>
          </w:tcPr>
          <w:p w14:paraId="1290BF12" w14:textId="77777777" w:rsidR="004A004B" w:rsidRPr="00320972" w:rsidRDefault="004A004B" w:rsidP="00BC707D">
            <w:pPr>
              <w:jc w:val="center"/>
              <w:rPr>
                <w:sz w:val="24"/>
                <w:szCs w:val="24"/>
              </w:rPr>
            </w:pPr>
            <w:r w:rsidRPr="00320972">
              <w:rPr>
                <w:sz w:val="24"/>
                <w:szCs w:val="24"/>
              </w:rPr>
              <w:t>SSS</w:t>
            </w:r>
          </w:p>
        </w:tc>
        <w:tc>
          <w:tcPr>
            <w:tcW w:w="1080" w:type="dxa"/>
            <w:tcBorders>
              <w:top w:val="nil"/>
              <w:left w:val="nil"/>
              <w:bottom w:val="nil"/>
              <w:right w:val="nil"/>
            </w:tcBorders>
            <w:shd w:val="clear" w:color="auto" w:fill="FFFFFF"/>
            <w:tcMar>
              <w:top w:w="15" w:type="dxa"/>
              <w:left w:w="15" w:type="dxa"/>
              <w:bottom w:w="0" w:type="dxa"/>
              <w:right w:w="15" w:type="dxa"/>
            </w:tcMar>
            <w:vAlign w:val="center"/>
            <w:hideMark/>
          </w:tcPr>
          <w:p w14:paraId="55FEC44B" w14:textId="77777777" w:rsidR="004A004B" w:rsidRPr="00320972" w:rsidRDefault="004A004B" w:rsidP="00BC707D">
            <w:pPr>
              <w:jc w:val="center"/>
              <w:rPr>
                <w:sz w:val="24"/>
                <w:szCs w:val="24"/>
              </w:rPr>
            </w:pPr>
            <w:r w:rsidRPr="00320972">
              <w:rPr>
                <w:sz w:val="24"/>
                <w:szCs w:val="24"/>
              </w:rPr>
              <w:t>8593</w:t>
            </w:r>
          </w:p>
        </w:tc>
        <w:tc>
          <w:tcPr>
            <w:tcW w:w="1080" w:type="dxa"/>
            <w:tcBorders>
              <w:top w:val="nil"/>
              <w:left w:val="nil"/>
              <w:bottom w:val="nil"/>
              <w:right w:val="nil"/>
            </w:tcBorders>
            <w:shd w:val="clear" w:color="auto" w:fill="FFFFFF"/>
            <w:tcMar>
              <w:top w:w="15" w:type="dxa"/>
              <w:left w:w="15" w:type="dxa"/>
              <w:bottom w:w="0" w:type="dxa"/>
              <w:right w:w="15" w:type="dxa"/>
            </w:tcMar>
            <w:vAlign w:val="center"/>
            <w:hideMark/>
          </w:tcPr>
          <w:p w14:paraId="29BD5846" w14:textId="77777777" w:rsidR="004A004B" w:rsidRPr="00320972" w:rsidRDefault="004A004B" w:rsidP="00BC707D">
            <w:pPr>
              <w:jc w:val="center"/>
              <w:rPr>
                <w:sz w:val="24"/>
                <w:szCs w:val="24"/>
              </w:rPr>
            </w:pPr>
            <w:r w:rsidRPr="00320972">
              <w:rPr>
                <w:sz w:val="24"/>
                <w:szCs w:val="24"/>
              </w:rPr>
              <w:t>-521.71</w:t>
            </w:r>
          </w:p>
        </w:tc>
        <w:tc>
          <w:tcPr>
            <w:tcW w:w="1260" w:type="dxa"/>
            <w:tcBorders>
              <w:top w:val="nil"/>
              <w:left w:val="nil"/>
              <w:bottom w:val="nil"/>
              <w:right w:val="nil"/>
            </w:tcBorders>
            <w:shd w:val="clear" w:color="auto" w:fill="FFFFFF"/>
            <w:tcMar>
              <w:top w:w="15" w:type="dxa"/>
              <w:left w:w="15" w:type="dxa"/>
              <w:bottom w:w="0" w:type="dxa"/>
              <w:right w:w="15" w:type="dxa"/>
            </w:tcMar>
            <w:vAlign w:val="center"/>
            <w:hideMark/>
          </w:tcPr>
          <w:p w14:paraId="5FF045E7" w14:textId="77777777" w:rsidR="004A004B" w:rsidRPr="00320972" w:rsidRDefault="004A004B" w:rsidP="00BC707D">
            <w:pPr>
              <w:jc w:val="center"/>
              <w:rPr>
                <w:sz w:val="24"/>
                <w:szCs w:val="24"/>
              </w:rPr>
            </w:pPr>
            <w:r w:rsidRPr="00320972">
              <w:rPr>
                <w:sz w:val="24"/>
                <w:szCs w:val="24"/>
              </w:rPr>
              <w:t>7.92</w:t>
            </w:r>
          </w:p>
        </w:tc>
        <w:tc>
          <w:tcPr>
            <w:tcW w:w="900" w:type="dxa"/>
            <w:tcBorders>
              <w:top w:val="nil"/>
              <w:left w:val="nil"/>
              <w:bottom w:val="nil"/>
              <w:right w:val="nil"/>
            </w:tcBorders>
            <w:shd w:val="clear" w:color="auto" w:fill="FFFFFF"/>
            <w:tcMar>
              <w:top w:w="15" w:type="dxa"/>
              <w:left w:w="15" w:type="dxa"/>
              <w:bottom w:w="0" w:type="dxa"/>
              <w:right w:w="15" w:type="dxa"/>
            </w:tcMar>
            <w:vAlign w:val="center"/>
            <w:hideMark/>
          </w:tcPr>
          <w:p w14:paraId="1FB68BE8" w14:textId="77777777" w:rsidR="004A004B" w:rsidRPr="00320972" w:rsidRDefault="004A004B" w:rsidP="00BC707D">
            <w:pPr>
              <w:jc w:val="center"/>
              <w:rPr>
                <w:sz w:val="24"/>
                <w:szCs w:val="24"/>
              </w:rPr>
            </w:pPr>
            <w:r w:rsidRPr="00320972">
              <w:rPr>
                <w:sz w:val="24"/>
                <w:szCs w:val="24"/>
              </w:rPr>
              <w:t>0.83</w:t>
            </w:r>
          </w:p>
        </w:tc>
        <w:tc>
          <w:tcPr>
            <w:tcW w:w="1720" w:type="dxa"/>
            <w:tcBorders>
              <w:top w:val="nil"/>
              <w:left w:val="nil"/>
              <w:bottom w:val="nil"/>
              <w:right w:val="nil"/>
            </w:tcBorders>
            <w:shd w:val="clear" w:color="auto" w:fill="FFFFFF"/>
            <w:tcMar>
              <w:top w:w="15" w:type="dxa"/>
              <w:left w:w="15" w:type="dxa"/>
              <w:bottom w:w="0" w:type="dxa"/>
              <w:right w:w="15" w:type="dxa"/>
            </w:tcMar>
            <w:vAlign w:val="center"/>
            <w:hideMark/>
          </w:tcPr>
          <w:p w14:paraId="392206B8" w14:textId="77777777" w:rsidR="004A004B" w:rsidRPr="00320972" w:rsidRDefault="004A004B" w:rsidP="00BC707D">
            <w:pPr>
              <w:jc w:val="center"/>
              <w:rPr>
                <w:sz w:val="24"/>
                <w:szCs w:val="24"/>
              </w:rPr>
            </w:pPr>
            <w:r w:rsidRPr="00320972">
              <w:rPr>
                <w:sz w:val="24"/>
                <w:szCs w:val="24"/>
              </w:rPr>
              <w:t>32.70±2.07</w:t>
            </w:r>
          </w:p>
        </w:tc>
        <w:tc>
          <w:tcPr>
            <w:tcW w:w="940" w:type="dxa"/>
            <w:tcBorders>
              <w:top w:val="nil"/>
              <w:left w:val="nil"/>
              <w:bottom w:val="nil"/>
              <w:right w:val="nil"/>
            </w:tcBorders>
            <w:shd w:val="clear" w:color="auto" w:fill="FFFFFF"/>
            <w:tcMar>
              <w:top w:w="15" w:type="dxa"/>
              <w:left w:w="15" w:type="dxa"/>
              <w:bottom w:w="0" w:type="dxa"/>
              <w:right w:w="15" w:type="dxa"/>
            </w:tcMar>
            <w:vAlign w:val="center"/>
            <w:hideMark/>
          </w:tcPr>
          <w:p w14:paraId="6968869A" w14:textId="77777777" w:rsidR="004A004B" w:rsidRPr="00320972" w:rsidRDefault="004A004B" w:rsidP="00BC707D">
            <w:pPr>
              <w:jc w:val="center"/>
              <w:rPr>
                <w:sz w:val="24"/>
                <w:szCs w:val="24"/>
              </w:rPr>
            </w:pPr>
            <w:r w:rsidRPr="00320972">
              <w:rPr>
                <w:sz w:val="24"/>
                <w:szCs w:val="24"/>
              </w:rPr>
              <w:t>31.58</w:t>
            </w:r>
          </w:p>
        </w:tc>
        <w:tc>
          <w:tcPr>
            <w:tcW w:w="1080" w:type="dxa"/>
            <w:tcBorders>
              <w:top w:val="nil"/>
              <w:left w:val="nil"/>
              <w:bottom w:val="nil"/>
              <w:right w:val="nil"/>
            </w:tcBorders>
            <w:shd w:val="clear" w:color="auto" w:fill="FFFFFF"/>
            <w:tcMar>
              <w:top w:w="15" w:type="dxa"/>
              <w:left w:w="15" w:type="dxa"/>
              <w:bottom w:w="0" w:type="dxa"/>
              <w:right w:w="15" w:type="dxa"/>
            </w:tcMar>
            <w:vAlign w:val="center"/>
            <w:hideMark/>
          </w:tcPr>
          <w:p w14:paraId="6A009FE7" w14:textId="77777777" w:rsidR="004A004B" w:rsidRPr="00320972" w:rsidRDefault="004A004B" w:rsidP="00BC707D">
            <w:pPr>
              <w:jc w:val="center"/>
              <w:rPr>
                <w:sz w:val="24"/>
                <w:szCs w:val="24"/>
              </w:rPr>
            </w:pPr>
            <w:r w:rsidRPr="00320972">
              <w:rPr>
                <w:sz w:val="24"/>
                <w:szCs w:val="24"/>
              </w:rPr>
              <w:t>33.02</w:t>
            </w:r>
          </w:p>
        </w:tc>
      </w:tr>
      <w:tr w:rsidR="004A004B" w:rsidRPr="00320972" w14:paraId="0528DA5C" w14:textId="77777777" w:rsidTr="00BC707D">
        <w:trPr>
          <w:trHeight w:val="412"/>
        </w:trPr>
        <w:tc>
          <w:tcPr>
            <w:tcW w:w="1080" w:type="dxa"/>
            <w:tcBorders>
              <w:top w:val="nil"/>
              <w:left w:val="nil"/>
              <w:bottom w:val="nil"/>
              <w:right w:val="nil"/>
            </w:tcBorders>
            <w:shd w:val="clear" w:color="auto" w:fill="FFFFFF"/>
            <w:tcMar>
              <w:top w:w="15" w:type="dxa"/>
              <w:left w:w="15" w:type="dxa"/>
              <w:bottom w:w="0" w:type="dxa"/>
              <w:right w:w="15" w:type="dxa"/>
            </w:tcMar>
            <w:vAlign w:val="center"/>
            <w:hideMark/>
          </w:tcPr>
          <w:p w14:paraId="5C6A02AD" w14:textId="77777777" w:rsidR="004A004B" w:rsidRPr="00320972" w:rsidRDefault="004A004B" w:rsidP="00BC707D">
            <w:pPr>
              <w:jc w:val="center"/>
              <w:rPr>
                <w:sz w:val="24"/>
                <w:szCs w:val="24"/>
              </w:rPr>
            </w:pPr>
            <w:r w:rsidRPr="00320972">
              <w:rPr>
                <w:sz w:val="24"/>
                <w:szCs w:val="24"/>
              </w:rPr>
              <w:t>SSH</w:t>
            </w:r>
          </w:p>
        </w:tc>
        <w:tc>
          <w:tcPr>
            <w:tcW w:w="1080" w:type="dxa"/>
            <w:tcBorders>
              <w:top w:val="nil"/>
              <w:left w:val="nil"/>
              <w:bottom w:val="nil"/>
              <w:right w:val="nil"/>
            </w:tcBorders>
            <w:shd w:val="clear" w:color="auto" w:fill="FFFFFF"/>
            <w:tcMar>
              <w:top w:w="15" w:type="dxa"/>
              <w:left w:w="15" w:type="dxa"/>
              <w:bottom w:w="0" w:type="dxa"/>
              <w:right w:w="15" w:type="dxa"/>
            </w:tcMar>
            <w:vAlign w:val="center"/>
            <w:hideMark/>
          </w:tcPr>
          <w:p w14:paraId="69F589AD" w14:textId="77777777" w:rsidR="004A004B" w:rsidRPr="00320972" w:rsidRDefault="004A004B" w:rsidP="00BC707D">
            <w:pPr>
              <w:jc w:val="center"/>
              <w:rPr>
                <w:sz w:val="24"/>
                <w:szCs w:val="24"/>
              </w:rPr>
            </w:pPr>
            <w:r w:rsidRPr="00320972">
              <w:rPr>
                <w:sz w:val="24"/>
                <w:szCs w:val="24"/>
              </w:rPr>
              <w:t>4.19</w:t>
            </w:r>
          </w:p>
        </w:tc>
        <w:tc>
          <w:tcPr>
            <w:tcW w:w="1080" w:type="dxa"/>
            <w:tcBorders>
              <w:top w:val="nil"/>
              <w:left w:val="nil"/>
              <w:bottom w:val="nil"/>
              <w:right w:val="nil"/>
            </w:tcBorders>
            <w:shd w:val="clear" w:color="auto" w:fill="FFFFFF"/>
            <w:tcMar>
              <w:top w:w="15" w:type="dxa"/>
              <w:left w:w="15" w:type="dxa"/>
              <w:bottom w:w="0" w:type="dxa"/>
              <w:right w:w="15" w:type="dxa"/>
            </w:tcMar>
            <w:vAlign w:val="center"/>
            <w:hideMark/>
          </w:tcPr>
          <w:p w14:paraId="0BAFA218" w14:textId="77777777" w:rsidR="004A004B" w:rsidRPr="00320972" w:rsidRDefault="004A004B" w:rsidP="00BC707D">
            <w:pPr>
              <w:jc w:val="center"/>
              <w:rPr>
                <w:sz w:val="24"/>
                <w:szCs w:val="24"/>
              </w:rPr>
            </w:pPr>
            <w:r w:rsidRPr="00320972">
              <w:rPr>
                <w:sz w:val="24"/>
                <w:szCs w:val="24"/>
              </w:rPr>
              <w:t>47.95</w:t>
            </w:r>
          </w:p>
        </w:tc>
        <w:tc>
          <w:tcPr>
            <w:tcW w:w="1260" w:type="dxa"/>
            <w:tcBorders>
              <w:top w:val="nil"/>
              <w:left w:val="nil"/>
              <w:bottom w:val="nil"/>
              <w:right w:val="nil"/>
            </w:tcBorders>
            <w:shd w:val="clear" w:color="auto" w:fill="FFFFFF"/>
            <w:tcMar>
              <w:top w:w="15" w:type="dxa"/>
              <w:left w:w="15" w:type="dxa"/>
              <w:bottom w:w="0" w:type="dxa"/>
              <w:right w:w="15" w:type="dxa"/>
            </w:tcMar>
            <w:vAlign w:val="center"/>
            <w:hideMark/>
          </w:tcPr>
          <w:p w14:paraId="6BEA29F0" w14:textId="77777777" w:rsidR="004A004B" w:rsidRPr="00320972" w:rsidRDefault="004A004B" w:rsidP="00BC707D">
            <w:pPr>
              <w:jc w:val="center"/>
              <w:rPr>
                <w:sz w:val="24"/>
                <w:szCs w:val="24"/>
              </w:rPr>
            </w:pPr>
            <w:r w:rsidRPr="00320972">
              <w:rPr>
                <w:sz w:val="24"/>
                <w:szCs w:val="24"/>
              </w:rPr>
              <w:t>178.96</w:t>
            </w:r>
          </w:p>
        </w:tc>
        <w:tc>
          <w:tcPr>
            <w:tcW w:w="900" w:type="dxa"/>
            <w:tcBorders>
              <w:top w:val="nil"/>
              <w:left w:val="nil"/>
              <w:bottom w:val="nil"/>
              <w:right w:val="nil"/>
            </w:tcBorders>
            <w:shd w:val="clear" w:color="auto" w:fill="FFFFFF"/>
            <w:tcMar>
              <w:top w:w="15" w:type="dxa"/>
              <w:left w:w="15" w:type="dxa"/>
              <w:bottom w:w="0" w:type="dxa"/>
              <w:right w:w="15" w:type="dxa"/>
            </w:tcMar>
            <w:vAlign w:val="center"/>
            <w:hideMark/>
          </w:tcPr>
          <w:p w14:paraId="1157D75F" w14:textId="77777777" w:rsidR="004A004B" w:rsidRPr="00320972" w:rsidRDefault="004A004B" w:rsidP="00BC707D">
            <w:pPr>
              <w:jc w:val="center"/>
              <w:rPr>
                <w:sz w:val="24"/>
                <w:szCs w:val="24"/>
              </w:rPr>
            </w:pPr>
            <w:r w:rsidRPr="00320972">
              <w:rPr>
                <w:sz w:val="24"/>
                <w:szCs w:val="24"/>
              </w:rPr>
              <w:t>0.96</w:t>
            </w:r>
          </w:p>
        </w:tc>
        <w:tc>
          <w:tcPr>
            <w:tcW w:w="1720" w:type="dxa"/>
            <w:tcBorders>
              <w:top w:val="nil"/>
              <w:left w:val="nil"/>
              <w:bottom w:val="nil"/>
              <w:right w:val="nil"/>
            </w:tcBorders>
            <w:shd w:val="clear" w:color="auto" w:fill="FFFFFF"/>
            <w:tcMar>
              <w:top w:w="15" w:type="dxa"/>
              <w:left w:w="15" w:type="dxa"/>
              <w:bottom w:w="0" w:type="dxa"/>
              <w:right w:w="15" w:type="dxa"/>
            </w:tcMar>
            <w:vAlign w:val="center"/>
            <w:hideMark/>
          </w:tcPr>
          <w:p w14:paraId="71EE22A9" w14:textId="77777777" w:rsidR="004A004B" w:rsidRPr="00320972" w:rsidRDefault="004A004B" w:rsidP="00BC707D">
            <w:pPr>
              <w:jc w:val="center"/>
              <w:rPr>
                <w:sz w:val="24"/>
                <w:szCs w:val="24"/>
              </w:rPr>
            </w:pPr>
            <w:r w:rsidRPr="00320972">
              <w:rPr>
                <w:sz w:val="24"/>
                <w:szCs w:val="24"/>
              </w:rPr>
              <w:t>-0.13±0.006</w:t>
            </w:r>
          </w:p>
        </w:tc>
        <w:tc>
          <w:tcPr>
            <w:tcW w:w="940" w:type="dxa"/>
            <w:tcBorders>
              <w:top w:val="nil"/>
              <w:left w:val="nil"/>
              <w:bottom w:val="nil"/>
              <w:right w:val="nil"/>
            </w:tcBorders>
            <w:shd w:val="clear" w:color="auto" w:fill="FFFFFF"/>
            <w:tcMar>
              <w:top w:w="15" w:type="dxa"/>
              <w:left w:w="15" w:type="dxa"/>
              <w:bottom w:w="0" w:type="dxa"/>
              <w:right w:w="15" w:type="dxa"/>
            </w:tcMar>
            <w:vAlign w:val="center"/>
            <w:hideMark/>
          </w:tcPr>
          <w:p w14:paraId="57B4B4B7" w14:textId="77777777" w:rsidR="004A004B" w:rsidRPr="00320972" w:rsidRDefault="004A004B" w:rsidP="00BC707D">
            <w:pPr>
              <w:jc w:val="center"/>
              <w:rPr>
                <w:sz w:val="24"/>
                <w:szCs w:val="24"/>
              </w:rPr>
            </w:pPr>
            <w:r w:rsidRPr="00320972">
              <w:rPr>
                <w:sz w:val="24"/>
                <w:szCs w:val="24"/>
              </w:rPr>
              <w:t>-0.14</w:t>
            </w:r>
          </w:p>
        </w:tc>
        <w:tc>
          <w:tcPr>
            <w:tcW w:w="1080" w:type="dxa"/>
            <w:tcBorders>
              <w:top w:val="nil"/>
              <w:left w:val="nil"/>
              <w:bottom w:val="nil"/>
              <w:right w:val="nil"/>
            </w:tcBorders>
            <w:shd w:val="clear" w:color="auto" w:fill="FFFFFF"/>
            <w:tcMar>
              <w:top w:w="15" w:type="dxa"/>
              <w:left w:w="15" w:type="dxa"/>
              <w:bottom w:w="0" w:type="dxa"/>
              <w:right w:w="15" w:type="dxa"/>
            </w:tcMar>
            <w:vAlign w:val="center"/>
            <w:hideMark/>
          </w:tcPr>
          <w:p w14:paraId="4A85AC1E" w14:textId="77777777" w:rsidR="004A004B" w:rsidRPr="00320972" w:rsidRDefault="004A004B" w:rsidP="00BC707D">
            <w:pPr>
              <w:jc w:val="center"/>
              <w:rPr>
                <w:sz w:val="24"/>
                <w:szCs w:val="24"/>
              </w:rPr>
            </w:pPr>
            <w:r w:rsidRPr="00320972">
              <w:rPr>
                <w:sz w:val="24"/>
                <w:szCs w:val="24"/>
              </w:rPr>
              <w:t>-0.12</w:t>
            </w:r>
          </w:p>
        </w:tc>
      </w:tr>
      <w:tr w:rsidR="004A004B" w:rsidRPr="00320972" w14:paraId="2084AD89" w14:textId="77777777" w:rsidTr="00BC707D">
        <w:trPr>
          <w:trHeight w:val="487"/>
        </w:trPr>
        <w:tc>
          <w:tcPr>
            <w:tcW w:w="1080" w:type="dxa"/>
            <w:tcBorders>
              <w:top w:val="nil"/>
              <w:left w:val="nil"/>
              <w:bottom w:val="nil"/>
              <w:right w:val="nil"/>
            </w:tcBorders>
            <w:shd w:val="clear" w:color="auto" w:fill="FFFFFF"/>
            <w:tcMar>
              <w:top w:w="15" w:type="dxa"/>
              <w:left w:w="15" w:type="dxa"/>
              <w:bottom w:w="0" w:type="dxa"/>
              <w:right w:w="15" w:type="dxa"/>
            </w:tcMar>
            <w:vAlign w:val="center"/>
            <w:hideMark/>
          </w:tcPr>
          <w:p w14:paraId="0B4DBEA3" w14:textId="77777777" w:rsidR="004A004B" w:rsidRPr="00320972" w:rsidRDefault="004A004B" w:rsidP="00BC707D">
            <w:pPr>
              <w:jc w:val="center"/>
              <w:rPr>
                <w:sz w:val="24"/>
                <w:szCs w:val="24"/>
              </w:rPr>
            </w:pPr>
            <w:r w:rsidRPr="00320972">
              <w:rPr>
                <w:sz w:val="24"/>
                <w:szCs w:val="24"/>
              </w:rPr>
              <w:t>NPP</w:t>
            </w:r>
          </w:p>
        </w:tc>
        <w:tc>
          <w:tcPr>
            <w:tcW w:w="1080" w:type="dxa"/>
            <w:tcBorders>
              <w:top w:val="nil"/>
              <w:left w:val="nil"/>
              <w:bottom w:val="nil"/>
              <w:right w:val="nil"/>
            </w:tcBorders>
            <w:shd w:val="clear" w:color="auto" w:fill="FFFFFF"/>
            <w:tcMar>
              <w:top w:w="15" w:type="dxa"/>
              <w:left w:w="15" w:type="dxa"/>
              <w:bottom w:w="0" w:type="dxa"/>
              <w:right w:w="15" w:type="dxa"/>
            </w:tcMar>
            <w:vAlign w:val="center"/>
            <w:hideMark/>
          </w:tcPr>
          <w:p w14:paraId="40972412" w14:textId="77777777" w:rsidR="004A004B" w:rsidRPr="00320972" w:rsidRDefault="004A004B" w:rsidP="00BC707D">
            <w:pPr>
              <w:jc w:val="center"/>
              <w:rPr>
                <w:sz w:val="24"/>
                <w:szCs w:val="24"/>
              </w:rPr>
            </w:pPr>
            <w:r w:rsidRPr="00320972">
              <w:rPr>
                <w:sz w:val="24"/>
                <w:szCs w:val="24"/>
              </w:rPr>
              <w:t>5.85</w:t>
            </w:r>
          </w:p>
        </w:tc>
        <w:tc>
          <w:tcPr>
            <w:tcW w:w="1080" w:type="dxa"/>
            <w:tcBorders>
              <w:top w:val="nil"/>
              <w:left w:val="nil"/>
              <w:bottom w:val="nil"/>
              <w:right w:val="nil"/>
            </w:tcBorders>
            <w:shd w:val="clear" w:color="auto" w:fill="FFFFFF"/>
            <w:tcMar>
              <w:top w:w="15" w:type="dxa"/>
              <w:left w:w="15" w:type="dxa"/>
              <w:bottom w:w="0" w:type="dxa"/>
              <w:right w:w="15" w:type="dxa"/>
            </w:tcMar>
            <w:vAlign w:val="center"/>
            <w:hideMark/>
          </w:tcPr>
          <w:p w14:paraId="014F8A81" w14:textId="77777777" w:rsidR="004A004B" w:rsidRPr="00320972" w:rsidRDefault="004A004B" w:rsidP="00BC707D">
            <w:pPr>
              <w:jc w:val="center"/>
              <w:rPr>
                <w:sz w:val="24"/>
                <w:szCs w:val="24"/>
              </w:rPr>
            </w:pPr>
            <w:r w:rsidRPr="00320972">
              <w:rPr>
                <w:sz w:val="24"/>
                <w:szCs w:val="24"/>
              </w:rPr>
              <w:t>-0.01</w:t>
            </w:r>
          </w:p>
        </w:tc>
        <w:tc>
          <w:tcPr>
            <w:tcW w:w="1260" w:type="dxa"/>
            <w:tcBorders>
              <w:top w:val="nil"/>
              <w:left w:val="nil"/>
              <w:bottom w:val="nil"/>
              <w:right w:val="nil"/>
            </w:tcBorders>
            <w:shd w:val="clear" w:color="auto" w:fill="FFFFFF"/>
            <w:tcMar>
              <w:top w:w="15" w:type="dxa"/>
              <w:left w:w="15" w:type="dxa"/>
              <w:bottom w:w="0" w:type="dxa"/>
              <w:right w:w="15" w:type="dxa"/>
            </w:tcMar>
            <w:vAlign w:val="center"/>
            <w:hideMark/>
          </w:tcPr>
          <w:p w14:paraId="638120AC" w14:textId="77777777" w:rsidR="004A004B" w:rsidRPr="00320972" w:rsidRDefault="004A004B" w:rsidP="00BC707D">
            <w:pPr>
              <w:jc w:val="center"/>
              <w:rPr>
                <w:sz w:val="24"/>
                <w:szCs w:val="24"/>
              </w:rPr>
            </w:pPr>
            <w:r w:rsidRPr="00320972">
              <w:rPr>
                <w:sz w:val="24"/>
                <w:szCs w:val="24"/>
              </w:rPr>
              <w:t>0.000015</w:t>
            </w:r>
          </w:p>
        </w:tc>
        <w:tc>
          <w:tcPr>
            <w:tcW w:w="900" w:type="dxa"/>
            <w:tcBorders>
              <w:top w:val="nil"/>
              <w:left w:val="nil"/>
              <w:bottom w:val="nil"/>
              <w:right w:val="nil"/>
            </w:tcBorders>
            <w:shd w:val="clear" w:color="auto" w:fill="FFFFFF"/>
            <w:tcMar>
              <w:top w:w="15" w:type="dxa"/>
              <w:left w:w="15" w:type="dxa"/>
              <w:bottom w:w="0" w:type="dxa"/>
              <w:right w:w="15" w:type="dxa"/>
            </w:tcMar>
            <w:vAlign w:val="center"/>
            <w:hideMark/>
          </w:tcPr>
          <w:p w14:paraId="6BCF4DF6" w14:textId="77777777" w:rsidR="004A004B" w:rsidRPr="00320972" w:rsidRDefault="004A004B" w:rsidP="00BC707D">
            <w:pPr>
              <w:jc w:val="center"/>
              <w:rPr>
                <w:sz w:val="24"/>
                <w:szCs w:val="24"/>
              </w:rPr>
            </w:pPr>
            <w:r w:rsidRPr="00320972">
              <w:rPr>
                <w:sz w:val="24"/>
                <w:szCs w:val="24"/>
              </w:rPr>
              <w:t>0.69</w:t>
            </w:r>
          </w:p>
        </w:tc>
        <w:tc>
          <w:tcPr>
            <w:tcW w:w="1720" w:type="dxa"/>
            <w:tcBorders>
              <w:top w:val="nil"/>
              <w:left w:val="nil"/>
              <w:bottom w:val="nil"/>
              <w:right w:val="nil"/>
            </w:tcBorders>
            <w:shd w:val="clear" w:color="auto" w:fill="FFFFFF"/>
            <w:tcMar>
              <w:top w:w="15" w:type="dxa"/>
              <w:left w:w="15" w:type="dxa"/>
              <w:bottom w:w="0" w:type="dxa"/>
              <w:right w:w="15" w:type="dxa"/>
            </w:tcMar>
            <w:vAlign w:val="center"/>
            <w:hideMark/>
          </w:tcPr>
          <w:p w14:paraId="0AEEB5C1" w14:textId="77777777" w:rsidR="004A004B" w:rsidRPr="00320972" w:rsidRDefault="004A004B" w:rsidP="00BC707D">
            <w:pPr>
              <w:jc w:val="center"/>
              <w:rPr>
                <w:sz w:val="24"/>
                <w:szCs w:val="24"/>
              </w:rPr>
            </w:pPr>
            <w:r w:rsidRPr="00320972">
              <w:rPr>
                <w:sz w:val="24"/>
                <w:szCs w:val="24"/>
              </w:rPr>
              <w:t>547.64±44.46</w:t>
            </w:r>
          </w:p>
        </w:tc>
        <w:tc>
          <w:tcPr>
            <w:tcW w:w="940" w:type="dxa"/>
            <w:tcBorders>
              <w:top w:val="nil"/>
              <w:left w:val="nil"/>
              <w:bottom w:val="nil"/>
              <w:right w:val="nil"/>
            </w:tcBorders>
            <w:shd w:val="clear" w:color="auto" w:fill="FFFFFF"/>
            <w:tcMar>
              <w:top w:w="15" w:type="dxa"/>
              <w:left w:w="15" w:type="dxa"/>
              <w:bottom w:w="0" w:type="dxa"/>
              <w:right w:w="15" w:type="dxa"/>
            </w:tcMar>
            <w:vAlign w:val="center"/>
            <w:hideMark/>
          </w:tcPr>
          <w:p w14:paraId="02BF696F" w14:textId="77777777" w:rsidR="004A004B" w:rsidRPr="00320972" w:rsidRDefault="004A004B" w:rsidP="00BC707D">
            <w:pPr>
              <w:jc w:val="center"/>
              <w:rPr>
                <w:sz w:val="24"/>
                <w:szCs w:val="24"/>
              </w:rPr>
            </w:pPr>
            <w:r w:rsidRPr="00320972">
              <w:rPr>
                <w:sz w:val="24"/>
                <w:szCs w:val="24"/>
              </w:rPr>
              <w:t>487.04</w:t>
            </w:r>
          </w:p>
        </w:tc>
        <w:tc>
          <w:tcPr>
            <w:tcW w:w="1080" w:type="dxa"/>
            <w:tcBorders>
              <w:top w:val="nil"/>
              <w:left w:val="nil"/>
              <w:bottom w:val="nil"/>
              <w:right w:val="nil"/>
            </w:tcBorders>
            <w:shd w:val="clear" w:color="auto" w:fill="FFFFFF"/>
            <w:tcMar>
              <w:top w:w="15" w:type="dxa"/>
              <w:left w:w="15" w:type="dxa"/>
              <w:bottom w:w="0" w:type="dxa"/>
              <w:right w:w="15" w:type="dxa"/>
            </w:tcMar>
            <w:vAlign w:val="center"/>
            <w:hideMark/>
          </w:tcPr>
          <w:p w14:paraId="043C8345" w14:textId="77777777" w:rsidR="004A004B" w:rsidRPr="00320972" w:rsidRDefault="004A004B" w:rsidP="00BC707D">
            <w:pPr>
              <w:jc w:val="center"/>
              <w:rPr>
                <w:sz w:val="24"/>
                <w:szCs w:val="24"/>
              </w:rPr>
            </w:pPr>
            <w:r w:rsidRPr="00320972">
              <w:rPr>
                <w:sz w:val="24"/>
                <w:szCs w:val="24"/>
              </w:rPr>
              <w:t>619.05</w:t>
            </w:r>
          </w:p>
        </w:tc>
      </w:tr>
      <w:tr w:rsidR="004A004B" w:rsidRPr="00320972" w14:paraId="6EF466C8" w14:textId="77777777" w:rsidTr="00BC707D">
        <w:trPr>
          <w:trHeight w:val="412"/>
        </w:trPr>
        <w:tc>
          <w:tcPr>
            <w:tcW w:w="1080" w:type="dxa"/>
            <w:tcBorders>
              <w:top w:val="nil"/>
              <w:left w:val="nil"/>
              <w:bottom w:val="nil"/>
              <w:right w:val="nil"/>
            </w:tcBorders>
            <w:shd w:val="clear" w:color="auto" w:fill="FFFFFF"/>
            <w:tcMar>
              <w:top w:w="15" w:type="dxa"/>
              <w:left w:w="15" w:type="dxa"/>
              <w:bottom w:w="0" w:type="dxa"/>
              <w:right w:w="15" w:type="dxa"/>
            </w:tcMar>
            <w:vAlign w:val="center"/>
            <w:hideMark/>
          </w:tcPr>
          <w:p w14:paraId="1D022579" w14:textId="77777777" w:rsidR="004A004B" w:rsidRPr="00320972" w:rsidRDefault="004A004B" w:rsidP="00BC707D">
            <w:pPr>
              <w:jc w:val="center"/>
              <w:rPr>
                <w:sz w:val="24"/>
                <w:szCs w:val="24"/>
              </w:rPr>
            </w:pPr>
            <w:r w:rsidRPr="00320972">
              <w:rPr>
                <w:sz w:val="24"/>
                <w:szCs w:val="24"/>
              </w:rPr>
              <w:t>DO</w:t>
            </w:r>
          </w:p>
        </w:tc>
        <w:tc>
          <w:tcPr>
            <w:tcW w:w="1080" w:type="dxa"/>
            <w:tcBorders>
              <w:top w:val="nil"/>
              <w:left w:val="nil"/>
              <w:bottom w:val="nil"/>
              <w:right w:val="nil"/>
            </w:tcBorders>
            <w:shd w:val="clear" w:color="auto" w:fill="FFFFFF"/>
            <w:tcMar>
              <w:top w:w="15" w:type="dxa"/>
              <w:left w:w="15" w:type="dxa"/>
              <w:bottom w:w="0" w:type="dxa"/>
              <w:right w:w="15" w:type="dxa"/>
            </w:tcMar>
            <w:vAlign w:val="center"/>
            <w:hideMark/>
          </w:tcPr>
          <w:p w14:paraId="76644CD6" w14:textId="77777777" w:rsidR="004A004B" w:rsidRPr="00320972" w:rsidRDefault="004A004B" w:rsidP="00BC707D">
            <w:pPr>
              <w:jc w:val="center"/>
              <w:rPr>
                <w:sz w:val="24"/>
                <w:szCs w:val="24"/>
              </w:rPr>
            </w:pPr>
            <w:r w:rsidRPr="00320972">
              <w:rPr>
                <w:sz w:val="24"/>
                <w:szCs w:val="24"/>
              </w:rPr>
              <w:t>349.4</w:t>
            </w:r>
          </w:p>
        </w:tc>
        <w:tc>
          <w:tcPr>
            <w:tcW w:w="1080" w:type="dxa"/>
            <w:tcBorders>
              <w:top w:val="nil"/>
              <w:left w:val="nil"/>
              <w:bottom w:val="nil"/>
              <w:right w:val="nil"/>
            </w:tcBorders>
            <w:shd w:val="clear" w:color="auto" w:fill="FFFFFF"/>
            <w:tcMar>
              <w:top w:w="15" w:type="dxa"/>
              <w:left w:w="15" w:type="dxa"/>
              <w:bottom w:w="0" w:type="dxa"/>
              <w:right w:w="15" w:type="dxa"/>
            </w:tcMar>
            <w:vAlign w:val="center"/>
            <w:hideMark/>
          </w:tcPr>
          <w:p w14:paraId="00E4A6F1" w14:textId="77777777" w:rsidR="004A004B" w:rsidRPr="00320972" w:rsidRDefault="004A004B" w:rsidP="00BC707D">
            <w:pPr>
              <w:jc w:val="center"/>
              <w:rPr>
                <w:sz w:val="24"/>
                <w:szCs w:val="24"/>
              </w:rPr>
            </w:pPr>
            <w:r w:rsidRPr="00320972">
              <w:rPr>
                <w:sz w:val="24"/>
                <w:szCs w:val="24"/>
              </w:rPr>
              <w:t>-83.62</w:t>
            </w:r>
          </w:p>
        </w:tc>
        <w:tc>
          <w:tcPr>
            <w:tcW w:w="1260" w:type="dxa"/>
            <w:tcBorders>
              <w:top w:val="nil"/>
              <w:left w:val="nil"/>
              <w:bottom w:val="nil"/>
              <w:right w:val="nil"/>
            </w:tcBorders>
            <w:shd w:val="clear" w:color="auto" w:fill="FFFFFF"/>
            <w:tcMar>
              <w:top w:w="15" w:type="dxa"/>
              <w:left w:w="15" w:type="dxa"/>
              <w:bottom w:w="0" w:type="dxa"/>
              <w:right w:w="15" w:type="dxa"/>
            </w:tcMar>
            <w:vAlign w:val="center"/>
            <w:hideMark/>
          </w:tcPr>
          <w:p w14:paraId="5EE52AB7" w14:textId="77777777" w:rsidR="004A004B" w:rsidRPr="00320972" w:rsidRDefault="004A004B" w:rsidP="00BC707D">
            <w:pPr>
              <w:jc w:val="center"/>
              <w:rPr>
                <w:sz w:val="24"/>
                <w:szCs w:val="24"/>
              </w:rPr>
            </w:pPr>
            <w:r w:rsidRPr="00320972">
              <w:rPr>
                <w:sz w:val="24"/>
                <w:szCs w:val="24"/>
              </w:rPr>
              <w:t>5.02</w:t>
            </w:r>
          </w:p>
        </w:tc>
        <w:tc>
          <w:tcPr>
            <w:tcW w:w="900" w:type="dxa"/>
            <w:tcBorders>
              <w:top w:val="nil"/>
              <w:left w:val="nil"/>
              <w:bottom w:val="nil"/>
              <w:right w:val="nil"/>
            </w:tcBorders>
            <w:shd w:val="clear" w:color="auto" w:fill="FFFFFF"/>
            <w:tcMar>
              <w:top w:w="15" w:type="dxa"/>
              <w:left w:w="15" w:type="dxa"/>
              <w:bottom w:w="0" w:type="dxa"/>
              <w:right w:w="15" w:type="dxa"/>
            </w:tcMar>
            <w:vAlign w:val="center"/>
            <w:hideMark/>
          </w:tcPr>
          <w:p w14:paraId="18A48D0B" w14:textId="77777777" w:rsidR="004A004B" w:rsidRPr="00320972" w:rsidRDefault="004A004B" w:rsidP="00BC707D">
            <w:pPr>
              <w:jc w:val="center"/>
              <w:rPr>
                <w:sz w:val="24"/>
                <w:szCs w:val="24"/>
              </w:rPr>
            </w:pPr>
            <w:r w:rsidRPr="00320972">
              <w:rPr>
                <w:sz w:val="24"/>
                <w:szCs w:val="24"/>
              </w:rPr>
              <w:t>0.95</w:t>
            </w:r>
          </w:p>
        </w:tc>
        <w:tc>
          <w:tcPr>
            <w:tcW w:w="1720" w:type="dxa"/>
            <w:tcBorders>
              <w:top w:val="nil"/>
              <w:left w:val="nil"/>
              <w:bottom w:val="nil"/>
              <w:right w:val="nil"/>
            </w:tcBorders>
            <w:shd w:val="clear" w:color="auto" w:fill="FFFFFF"/>
            <w:tcMar>
              <w:top w:w="15" w:type="dxa"/>
              <w:left w:w="15" w:type="dxa"/>
              <w:bottom w:w="0" w:type="dxa"/>
              <w:right w:w="15" w:type="dxa"/>
            </w:tcMar>
            <w:vAlign w:val="center"/>
            <w:hideMark/>
          </w:tcPr>
          <w:p w14:paraId="7BC3A6C6" w14:textId="77777777" w:rsidR="004A004B" w:rsidRPr="00320972" w:rsidRDefault="004A004B" w:rsidP="00BC707D">
            <w:pPr>
              <w:jc w:val="center"/>
              <w:rPr>
                <w:sz w:val="24"/>
                <w:szCs w:val="24"/>
              </w:rPr>
            </w:pPr>
            <w:r w:rsidRPr="00320972">
              <w:rPr>
                <w:sz w:val="24"/>
                <w:szCs w:val="24"/>
              </w:rPr>
              <w:t>8.32±0.06</w:t>
            </w:r>
          </w:p>
        </w:tc>
        <w:tc>
          <w:tcPr>
            <w:tcW w:w="940" w:type="dxa"/>
            <w:tcBorders>
              <w:top w:val="nil"/>
              <w:left w:val="nil"/>
              <w:bottom w:val="nil"/>
              <w:right w:val="nil"/>
            </w:tcBorders>
            <w:shd w:val="clear" w:color="auto" w:fill="FFFFFF"/>
            <w:tcMar>
              <w:top w:w="15" w:type="dxa"/>
              <w:left w:w="15" w:type="dxa"/>
              <w:bottom w:w="0" w:type="dxa"/>
              <w:right w:w="15" w:type="dxa"/>
            </w:tcMar>
            <w:vAlign w:val="center"/>
            <w:hideMark/>
          </w:tcPr>
          <w:p w14:paraId="1BE1FA96" w14:textId="77777777" w:rsidR="004A004B" w:rsidRPr="00320972" w:rsidRDefault="004A004B" w:rsidP="00BC707D">
            <w:pPr>
              <w:jc w:val="center"/>
              <w:rPr>
                <w:sz w:val="24"/>
                <w:szCs w:val="24"/>
              </w:rPr>
            </w:pPr>
            <w:r w:rsidRPr="00320972">
              <w:rPr>
                <w:sz w:val="24"/>
                <w:szCs w:val="24"/>
              </w:rPr>
              <w:t>8.24</w:t>
            </w:r>
          </w:p>
        </w:tc>
        <w:tc>
          <w:tcPr>
            <w:tcW w:w="1080" w:type="dxa"/>
            <w:tcBorders>
              <w:top w:val="nil"/>
              <w:left w:val="nil"/>
              <w:bottom w:val="nil"/>
              <w:right w:val="nil"/>
            </w:tcBorders>
            <w:shd w:val="clear" w:color="auto" w:fill="FFFFFF"/>
            <w:tcMar>
              <w:top w:w="15" w:type="dxa"/>
              <w:left w:w="15" w:type="dxa"/>
              <w:bottom w:w="0" w:type="dxa"/>
              <w:right w:w="15" w:type="dxa"/>
            </w:tcMar>
            <w:vAlign w:val="center"/>
            <w:hideMark/>
          </w:tcPr>
          <w:p w14:paraId="4756FB52" w14:textId="77777777" w:rsidR="004A004B" w:rsidRPr="00320972" w:rsidRDefault="004A004B" w:rsidP="00BC707D">
            <w:pPr>
              <w:jc w:val="center"/>
              <w:rPr>
                <w:sz w:val="24"/>
                <w:szCs w:val="24"/>
              </w:rPr>
            </w:pPr>
            <w:r w:rsidRPr="00320972">
              <w:rPr>
                <w:sz w:val="24"/>
                <w:szCs w:val="24"/>
              </w:rPr>
              <w:t>8.4</w:t>
            </w:r>
          </w:p>
        </w:tc>
      </w:tr>
      <w:tr w:rsidR="004A004B" w:rsidRPr="00320972" w14:paraId="5B9B0B26" w14:textId="77777777" w:rsidTr="00BC707D">
        <w:trPr>
          <w:trHeight w:val="324"/>
        </w:trPr>
        <w:tc>
          <w:tcPr>
            <w:tcW w:w="1080" w:type="dxa"/>
            <w:tcBorders>
              <w:top w:val="nil"/>
              <w:left w:val="nil"/>
              <w:bottom w:val="single" w:sz="18" w:space="0" w:color="000000"/>
              <w:right w:val="nil"/>
            </w:tcBorders>
            <w:shd w:val="clear" w:color="auto" w:fill="FFFFFF"/>
            <w:tcMar>
              <w:top w:w="15" w:type="dxa"/>
              <w:left w:w="15" w:type="dxa"/>
              <w:bottom w:w="0" w:type="dxa"/>
              <w:right w:w="15" w:type="dxa"/>
            </w:tcMar>
            <w:vAlign w:val="center"/>
            <w:hideMark/>
          </w:tcPr>
          <w:p w14:paraId="3117F95F" w14:textId="77777777" w:rsidR="004A004B" w:rsidRPr="00320972" w:rsidRDefault="004A004B" w:rsidP="00BC707D">
            <w:pPr>
              <w:jc w:val="center"/>
              <w:rPr>
                <w:sz w:val="24"/>
                <w:szCs w:val="24"/>
              </w:rPr>
            </w:pPr>
            <w:r w:rsidRPr="00320972">
              <w:rPr>
                <w:sz w:val="24"/>
                <w:szCs w:val="24"/>
              </w:rPr>
              <w:t>MLD</w:t>
            </w:r>
          </w:p>
        </w:tc>
        <w:tc>
          <w:tcPr>
            <w:tcW w:w="1080" w:type="dxa"/>
            <w:tcBorders>
              <w:top w:val="nil"/>
              <w:left w:val="nil"/>
              <w:bottom w:val="single" w:sz="18" w:space="0" w:color="000000"/>
              <w:right w:val="nil"/>
            </w:tcBorders>
            <w:shd w:val="clear" w:color="auto" w:fill="FFFFFF"/>
            <w:tcMar>
              <w:top w:w="15" w:type="dxa"/>
              <w:left w:w="15" w:type="dxa"/>
              <w:bottom w:w="0" w:type="dxa"/>
              <w:right w:w="15" w:type="dxa"/>
            </w:tcMar>
            <w:vAlign w:val="center"/>
            <w:hideMark/>
          </w:tcPr>
          <w:p w14:paraId="7FC68EF2" w14:textId="77777777" w:rsidR="004A004B" w:rsidRPr="00320972" w:rsidRDefault="004A004B" w:rsidP="00BC707D">
            <w:pPr>
              <w:jc w:val="center"/>
              <w:rPr>
                <w:sz w:val="24"/>
                <w:szCs w:val="24"/>
              </w:rPr>
            </w:pPr>
            <w:r w:rsidRPr="00320972">
              <w:rPr>
                <w:sz w:val="24"/>
                <w:szCs w:val="24"/>
              </w:rPr>
              <w:t>5.98</w:t>
            </w:r>
          </w:p>
        </w:tc>
        <w:tc>
          <w:tcPr>
            <w:tcW w:w="1080" w:type="dxa"/>
            <w:tcBorders>
              <w:top w:val="nil"/>
              <w:left w:val="nil"/>
              <w:bottom w:val="single" w:sz="18" w:space="0" w:color="000000"/>
              <w:right w:val="nil"/>
            </w:tcBorders>
            <w:shd w:val="clear" w:color="auto" w:fill="FFFFFF"/>
            <w:tcMar>
              <w:top w:w="15" w:type="dxa"/>
              <w:left w:w="15" w:type="dxa"/>
              <w:bottom w:w="0" w:type="dxa"/>
              <w:right w:w="15" w:type="dxa"/>
            </w:tcMar>
            <w:vAlign w:val="center"/>
            <w:hideMark/>
          </w:tcPr>
          <w:p w14:paraId="7F66C728" w14:textId="77777777" w:rsidR="004A004B" w:rsidRPr="00320972" w:rsidRDefault="004A004B" w:rsidP="00BC707D">
            <w:pPr>
              <w:jc w:val="center"/>
              <w:rPr>
                <w:sz w:val="24"/>
                <w:szCs w:val="24"/>
              </w:rPr>
            </w:pPr>
            <w:r w:rsidRPr="00320972">
              <w:rPr>
                <w:sz w:val="24"/>
                <w:szCs w:val="24"/>
              </w:rPr>
              <w:t>-0.74</w:t>
            </w:r>
          </w:p>
        </w:tc>
        <w:tc>
          <w:tcPr>
            <w:tcW w:w="1260" w:type="dxa"/>
            <w:tcBorders>
              <w:top w:val="nil"/>
              <w:left w:val="nil"/>
              <w:bottom w:val="single" w:sz="18" w:space="0" w:color="000000"/>
              <w:right w:val="nil"/>
            </w:tcBorders>
            <w:shd w:val="clear" w:color="auto" w:fill="FFFFFF"/>
            <w:tcMar>
              <w:top w:w="15" w:type="dxa"/>
              <w:left w:w="15" w:type="dxa"/>
              <w:bottom w:w="0" w:type="dxa"/>
              <w:right w:w="15" w:type="dxa"/>
            </w:tcMar>
            <w:vAlign w:val="center"/>
            <w:hideMark/>
          </w:tcPr>
          <w:p w14:paraId="24F34371" w14:textId="77777777" w:rsidR="004A004B" w:rsidRPr="00320972" w:rsidRDefault="004A004B" w:rsidP="00BC707D">
            <w:pPr>
              <w:jc w:val="center"/>
              <w:rPr>
                <w:sz w:val="24"/>
                <w:szCs w:val="24"/>
              </w:rPr>
            </w:pPr>
            <w:r w:rsidRPr="00320972">
              <w:rPr>
                <w:sz w:val="24"/>
                <w:szCs w:val="24"/>
              </w:rPr>
              <w:t>0.033</w:t>
            </w:r>
          </w:p>
        </w:tc>
        <w:tc>
          <w:tcPr>
            <w:tcW w:w="900" w:type="dxa"/>
            <w:tcBorders>
              <w:top w:val="nil"/>
              <w:left w:val="nil"/>
              <w:bottom w:val="single" w:sz="18" w:space="0" w:color="000000"/>
              <w:right w:val="nil"/>
            </w:tcBorders>
            <w:shd w:val="clear" w:color="auto" w:fill="FFFFFF"/>
            <w:tcMar>
              <w:top w:w="15" w:type="dxa"/>
              <w:left w:w="15" w:type="dxa"/>
              <w:bottom w:w="0" w:type="dxa"/>
              <w:right w:w="15" w:type="dxa"/>
            </w:tcMar>
            <w:vAlign w:val="center"/>
            <w:hideMark/>
          </w:tcPr>
          <w:p w14:paraId="236F0DE9" w14:textId="77777777" w:rsidR="004A004B" w:rsidRPr="00320972" w:rsidRDefault="004A004B" w:rsidP="00BC707D">
            <w:pPr>
              <w:jc w:val="center"/>
              <w:rPr>
                <w:sz w:val="24"/>
                <w:szCs w:val="24"/>
              </w:rPr>
            </w:pPr>
            <w:r w:rsidRPr="00320972">
              <w:rPr>
                <w:sz w:val="24"/>
                <w:szCs w:val="24"/>
              </w:rPr>
              <w:t>0.72</w:t>
            </w:r>
          </w:p>
        </w:tc>
        <w:tc>
          <w:tcPr>
            <w:tcW w:w="1720" w:type="dxa"/>
            <w:tcBorders>
              <w:top w:val="nil"/>
              <w:left w:val="nil"/>
              <w:bottom w:val="single" w:sz="18" w:space="0" w:color="000000"/>
              <w:right w:val="nil"/>
            </w:tcBorders>
            <w:shd w:val="clear" w:color="auto" w:fill="FFFFFF"/>
            <w:tcMar>
              <w:top w:w="15" w:type="dxa"/>
              <w:left w:w="15" w:type="dxa"/>
              <w:bottom w:w="0" w:type="dxa"/>
              <w:right w:w="15" w:type="dxa"/>
            </w:tcMar>
            <w:vAlign w:val="center"/>
            <w:hideMark/>
          </w:tcPr>
          <w:p w14:paraId="76755E89" w14:textId="77777777" w:rsidR="004A004B" w:rsidRPr="00320972" w:rsidRDefault="004A004B" w:rsidP="00BC707D">
            <w:pPr>
              <w:jc w:val="center"/>
              <w:rPr>
                <w:sz w:val="24"/>
                <w:szCs w:val="24"/>
              </w:rPr>
            </w:pPr>
            <w:r w:rsidRPr="00320972">
              <w:rPr>
                <w:sz w:val="24"/>
                <w:szCs w:val="24"/>
              </w:rPr>
              <w:t>11.76±7.10</w:t>
            </w:r>
          </w:p>
        </w:tc>
        <w:tc>
          <w:tcPr>
            <w:tcW w:w="940" w:type="dxa"/>
            <w:tcBorders>
              <w:top w:val="nil"/>
              <w:left w:val="nil"/>
              <w:bottom w:val="single" w:sz="18" w:space="0" w:color="000000"/>
              <w:right w:val="nil"/>
            </w:tcBorders>
            <w:shd w:val="clear" w:color="auto" w:fill="FFFFFF"/>
            <w:tcMar>
              <w:top w:w="15" w:type="dxa"/>
              <w:left w:w="15" w:type="dxa"/>
              <w:bottom w:w="0" w:type="dxa"/>
              <w:right w:w="15" w:type="dxa"/>
            </w:tcMar>
            <w:vAlign w:val="center"/>
            <w:hideMark/>
          </w:tcPr>
          <w:p w14:paraId="0FB8A522" w14:textId="77777777" w:rsidR="004A004B" w:rsidRPr="00320972" w:rsidRDefault="004A004B" w:rsidP="00BC707D">
            <w:pPr>
              <w:jc w:val="center"/>
              <w:rPr>
                <w:sz w:val="24"/>
                <w:szCs w:val="24"/>
              </w:rPr>
            </w:pPr>
            <w:r w:rsidRPr="00320972">
              <w:rPr>
                <w:sz w:val="24"/>
                <w:szCs w:val="24"/>
              </w:rPr>
              <w:t>2.45</w:t>
            </w:r>
          </w:p>
        </w:tc>
        <w:tc>
          <w:tcPr>
            <w:tcW w:w="1080" w:type="dxa"/>
            <w:tcBorders>
              <w:top w:val="nil"/>
              <w:left w:val="nil"/>
              <w:bottom w:val="single" w:sz="18" w:space="0" w:color="000000"/>
              <w:right w:val="nil"/>
            </w:tcBorders>
            <w:shd w:val="clear" w:color="auto" w:fill="FFFFFF"/>
            <w:tcMar>
              <w:top w:w="15" w:type="dxa"/>
              <w:left w:w="15" w:type="dxa"/>
              <w:bottom w:w="0" w:type="dxa"/>
              <w:right w:w="15" w:type="dxa"/>
            </w:tcMar>
            <w:vAlign w:val="center"/>
            <w:hideMark/>
          </w:tcPr>
          <w:p w14:paraId="39A3CA77" w14:textId="77777777" w:rsidR="004A004B" w:rsidRPr="00320972" w:rsidRDefault="004A004B" w:rsidP="00BC707D">
            <w:pPr>
              <w:jc w:val="center"/>
              <w:rPr>
                <w:sz w:val="24"/>
                <w:szCs w:val="24"/>
              </w:rPr>
            </w:pPr>
            <w:r w:rsidRPr="00320972">
              <w:rPr>
                <w:sz w:val="24"/>
                <w:szCs w:val="24"/>
              </w:rPr>
              <w:t>16.45</w:t>
            </w:r>
          </w:p>
        </w:tc>
      </w:tr>
    </w:tbl>
    <w:p w14:paraId="66079B6D" w14:textId="77777777" w:rsidR="004A004B" w:rsidRDefault="004A004B" w:rsidP="004A004B">
      <w:pPr>
        <w:jc w:val="center"/>
        <w:rPr>
          <w:b/>
          <w:bCs/>
          <w:sz w:val="24"/>
          <w:szCs w:val="24"/>
        </w:rPr>
      </w:pPr>
    </w:p>
    <w:p w14:paraId="4079E1D0" w14:textId="6D64CFC0" w:rsidR="004A004B" w:rsidRDefault="004A004B" w:rsidP="004A004B">
      <w:pPr>
        <w:rPr>
          <w:b/>
          <w:bCs/>
          <w:sz w:val="24"/>
          <w:szCs w:val="24"/>
        </w:rPr>
      </w:pPr>
      <w:r>
        <w:rPr>
          <w:b/>
          <w:bCs/>
          <w:sz w:val="24"/>
          <w:szCs w:val="24"/>
        </w:rPr>
        <w:br w:type="page"/>
      </w:r>
    </w:p>
    <w:p w14:paraId="1ED8BFA2" w14:textId="77777777" w:rsidR="004A004B" w:rsidRPr="006E2F4B" w:rsidRDefault="004A004B" w:rsidP="004A004B">
      <w:pPr>
        <w:spacing w:before="240" w:after="0" w:line="360" w:lineRule="auto"/>
        <w:jc w:val="center"/>
        <w:rPr>
          <w:b/>
          <w:bCs/>
          <w:sz w:val="24"/>
          <w:szCs w:val="24"/>
        </w:rPr>
      </w:pPr>
      <w:r w:rsidRPr="006E2F4B">
        <w:rPr>
          <w:b/>
          <w:bCs/>
          <w:sz w:val="24"/>
          <w:szCs w:val="24"/>
        </w:rPr>
        <w:lastRenderedPageBreak/>
        <w:t>FIGURES</w:t>
      </w:r>
    </w:p>
    <w:p w14:paraId="7C3C5FDF" w14:textId="77777777" w:rsidR="004A004B" w:rsidRPr="006E2F4B" w:rsidRDefault="004A004B" w:rsidP="004A004B">
      <w:pPr>
        <w:spacing w:line="360" w:lineRule="auto"/>
        <w:ind w:left="990" w:hanging="990"/>
        <w:jc w:val="both"/>
        <w:rPr>
          <w:sz w:val="24"/>
          <w:szCs w:val="24"/>
        </w:rPr>
      </w:pPr>
      <w:r w:rsidRPr="006E2F4B">
        <w:rPr>
          <w:noProof/>
          <w:sz w:val="24"/>
          <w:szCs w:val="24"/>
        </w:rPr>
        <w:t xml:space="preserve"> </w:t>
      </w:r>
      <w:r w:rsidRPr="006E2F4B">
        <w:rPr>
          <w:noProof/>
          <w:sz w:val="24"/>
          <w:szCs w:val="24"/>
        </w:rPr>
        <mc:AlternateContent>
          <mc:Choice Requires="wpg">
            <w:drawing>
              <wp:anchor distT="0" distB="0" distL="114300" distR="114300" simplePos="0" relativeHeight="251659264" behindDoc="0" locked="0" layoutInCell="1" allowOverlap="1" wp14:anchorId="25A5A479" wp14:editId="5EA36CE1">
                <wp:simplePos x="0" y="0"/>
                <wp:positionH relativeFrom="margin">
                  <wp:align>right</wp:align>
                </wp:positionH>
                <wp:positionV relativeFrom="paragraph">
                  <wp:posOffset>95052</wp:posOffset>
                </wp:positionV>
                <wp:extent cx="5943600" cy="3578860"/>
                <wp:effectExtent l="0" t="0" r="0" b="2540"/>
                <wp:wrapSquare wrapText="bothSides"/>
                <wp:docPr id="3" name="Group 3"/>
                <wp:cNvGraphicFramePr/>
                <a:graphic xmlns:a="http://schemas.openxmlformats.org/drawingml/2006/main">
                  <a:graphicData uri="http://schemas.microsoft.com/office/word/2010/wordprocessingGroup">
                    <wpg:wgp>
                      <wpg:cNvGrpSpPr/>
                      <wpg:grpSpPr>
                        <a:xfrm>
                          <a:off x="0" y="0"/>
                          <a:ext cx="5943600" cy="3578860"/>
                          <a:chOff x="0" y="0"/>
                          <a:chExt cx="5943600" cy="3578984"/>
                        </a:xfrm>
                      </wpg:grpSpPr>
                      <pic:pic xmlns:pic="http://schemas.openxmlformats.org/drawingml/2006/picture">
                        <pic:nvPicPr>
                          <pic:cNvPr id="1" name="Picture 1"/>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1223158" y="0"/>
                            <a:ext cx="3710305" cy="2600325"/>
                          </a:xfrm>
                          <a:prstGeom prst="rect">
                            <a:avLst/>
                          </a:prstGeom>
                        </pic:spPr>
                      </pic:pic>
                      <pic:pic xmlns:pic="http://schemas.openxmlformats.org/drawingml/2006/picture">
                        <pic:nvPicPr>
                          <pic:cNvPr id="2" name="Picture 2"/>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2695699"/>
                            <a:ext cx="5943600" cy="883285"/>
                          </a:xfrm>
                          <a:prstGeom prst="rect">
                            <a:avLst/>
                          </a:prstGeom>
                        </pic:spPr>
                      </pic:pic>
                    </wpg:wgp>
                  </a:graphicData>
                </a:graphic>
              </wp:anchor>
            </w:drawing>
          </mc:Choice>
          <mc:Fallback>
            <w:pict>
              <v:group w14:anchorId="24309E72" id="Group 3" o:spid="_x0000_s1026" style="position:absolute;margin-left:416.8pt;margin-top:7.5pt;width:468pt;height:281.8pt;z-index:251659264;mso-position-horizontal:right;mso-position-horizontal-relative:margin" coordsize="59436,357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2231;width:37103;height:26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">
                  <v:imagedata r:id="rId20" o:title=""/>
                </v:shape>
                <v:shape id="Picture 2" o:spid="_x0000_s1028" type="#_x0000_t75" style="position:absolute;top:26956;width:59436;height:8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">
                  <v:imagedata r:id="rId21" o:title=""/>
                </v:shape>
                <w10:wrap type="square" anchorx="margin"/>
              </v:group>
            </w:pict>
          </mc:Fallback>
        </mc:AlternateContent>
      </w:r>
      <w:r w:rsidRPr="006E2F4B">
        <w:rPr>
          <w:sz w:val="24"/>
          <w:szCs w:val="24"/>
        </w:rPr>
        <w:t>Figure 1. Theoretical framework for assessing the potential impact of climate change on Pacific saury habitat suitability. Dashed black line indicate the historical period which was used to build the HSI model. Dashed red line indicate the current period and historical period which was used as an input to predict Pacific saury HSI.</w:t>
      </w:r>
    </w:p>
    <w:p w14:paraId="3336ECCB" w14:textId="77777777" w:rsidR="004A004B" w:rsidRPr="006E2F4B" w:rsidRDefault="004A004B" w:rsidP="004A004B">
      <w:pPr>
        <w:rPr>
          <w:sz w:val="24"/>
          <w:szCs w:val="24"/>
        </w:rPr>
      </w:pPr>
      <w:r w:rsidRPr="006E2F4B">
        <w:rPr>
          <w:sz w:val="24"/>
          <w:szCs w:val="24"/>
        </w:rPr>
        <w:br w:type="page"/>
      </w:r>
    </w:p>
    <w:p w14:paraId="5D26E81C" w14:textId="77777777" w:rsidR="004A004B" w:rsidRPr="006E2F4B" w:rsidRDefault="004A004B" w:rsidP="004A004B">
      <w:pPr>
        <w:jc w:val="center"/>
        <w:rPr>
          <w:sz w:val="24"/>
          <w:szCs w:val="24"/>
        </w:rPr>
      </w:pPr>
      <w:r w:rsidRPr="006E2F4B">
        <w:rPr>
          <w:noProof/>
          <w:sz w:val="24"/>
          <w:szCs w:val="24"/>
        </w:rPr>
        <w:lastRenderedPageBreak/>
        <w:drawing>
          <wp:inline distT="0" distB="0" distL="0" distR="0" wp14:anchorId="3E94D30C" wp14:editId="6E714EFF">
            <wp:extent cx="4649880" cy="3216166"/>
            <wp:effectExtent l="0" t="0" r="0" b="3810"/>
            <wp:docPr id="13" name="Picture 12">
              <a:extLst xmlns:a="http://schemas.openxmlformats.org/drawingml/2006/main">
                <a:ext uri="{FF2B5EF4-FFF2-40B4-BE49-F238E27FC236}">
                  <a16:creationId xmlns:a16="http://schemas.microsoft.com/office/drawing/2014/main" id="{79131E3D-1521-4653-A402-07AE5C8BFC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79131E3D-1521-4653-A402-07AE5C8BFC3A}"/>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659450" cy="3222785"/>
                    </a:xfrm>
                    <a:prstGeom prst="rect">
                      <a:avLst/>
                    </a:prstGeom>
                  </pic:spPr>
                </pic:pic>
              </a:graphicData>
            </a:graphic>
          </wp:inline>
        </w:drawing>
      </w:r>
    </w:p>
    <w:p w14:paraId="38A35523" w14:textId="77777777" w:rsidR="004A004B" w:rsidRDefault="004A004B" w:rsidP="004A004B">
      <w:pPr>
        <w:ind w:left="540" w:hanging="540"/>
        <w:jc w:val="both"/>
        <w:rPr>
          <w:rFonts w:hAnsi="Calibri"/>
          <w:color w:val="000000" w:themeColor="text1"/>
          <w:kern w:val="24"/>
          <w:sz w:val="24"/>
          <w:szCs w:val="24"/>
        </w:rPr>
      </w:pPr>
      <w:r w:rsidRPr="006E2F4B">
        <w:rPr>
          <w:rFonts w:hAnsi="Calibri"/>
          <w:color w:val="000000" w:themeColor="text1"/>
          <w:kern w:val="24"/>
          <w:sz w:val="24"/>
          <w:szCs w:val="24"/>
        </w:rPr>
        <w:t>Fig</w:t>
      </w:r>
      <w:r>
        <w:rPr>
          <w:rFonts w:hAnsi="Calibri"/>
          <w:color w:val="000000" w:themeColor="text1"/>
          <w:kern w:val="24"/>
          <w:sz w:val="24"/>
          <w:szCs w:val="24"/>
        </w:rPr>
        <w:t xml:space="preserve">ure 2. </w:t>
      </w:r>
      <w:r w:rsidRPr="006E2F4B">
        <w:rPr>
          <w:rFonts w:hAnsi="Calibri"/>
          <w:color w:val="000000" w:themeColor="text1"/>
          <w:kern w:val="24"/>
          <w:sz w:val="24"/>
          <w:szCs w:val="24"/>
        </w:rPr>
        <w:t>Annual Habitat Suitability Index (HSI AMM) of Pacific saury in the Northwest Pacific from 2001 to 2014. The spatial distribution of suitable habitats is represented by color intensity, where red indicates areas of high habitat suitability, and blue represents areas of low suitability.</w:t>
      </w:r>
    </w:p>
    <w:p w14:paraId="6D05E6D2" w14:textId="77777777" w:rsidR="004A004B" w:rsidRPr="006E2F4B" w:rsidRDefault="004A004B" w:rsidP="004A004B">
      <w:pPr>
        <w:ind w:left="540" w:hanging="540"/>
        <w:jc w:val="center"/>
        <w:rPr>
          <w:sz w:val="24"/>
          <w:szCs w:val="24"/>
        </w:rPr>
      </w:pPr>
      <w:r w:rsidRPr="006E2F4B">
        <w:rPr>
          <w:noProof/>
          <w:sz w:val="24"/>
          <w:szCs w:val="24"/>
        </w:rPr>
        <w:drawing>
          <wp:inline distT="0" distB="0" distL="0" distR="0" wp14:anchorId="0BF06C19" wp14:editId="216FBE72">
            <wp:extent cx="4382814" cy="2921875"/>
            <wp:effectExtent l="0" t="0" r="0" b="0"/>
            <wp:docPr id="11" name="Content Placeholder 10">
              <a:extLst xmlns:a="http://schemas.openxmlformats.org/drawingml/2006/main">
                <a:ext uri="{FF2B5EF4-FFF2-40B4-BE49-F238E27FC236}">
                  <a16:creationId xmlns:a16="http://schemas.microsoft.com/office/drawing/2014/main" id="{D8953970-A5CA-469B-9FFB-C08B91A0F7A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Content Placeholder 10">
                      <a:extLst>
                        <a:ext uri="{FF2B5EF4-FFF2-40B4-BE49-F238E27FC236}">
                          <a16:creationId xmlns:a16="http://schemas.microsoft.com/office/drawing/2014/main" id="{D8953970-A5CA-469B-9FFB-C08B91A0F7AA}"/>
                        </a:ext>
                      </a:extLst>
                    </pic:cNvPr>
                    <pic:cNvPicPr>
                      <a:picLocks noGrp="1"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97200" cy="2931466"/>
                    </a:xfrm>
                    <a:prstGeom prst="rect">
                      <a:avLst/>
                    </a:prstGeom>
                  </pic:spPr>
                </pic:pic>
              </a:graphicData>
            </a:graphic>
          </wp:inline>
        </w:drawing>
      </w:r>
    </w:p>
    <w:p w14:paraId="1674EE98" w14:textId="77777777" w:rsidR="004A004B" w:rsidRDefault="004A004B" w:rsidP="004A004B">
      <w:pPr>
        <w:ind w:left="720" w:hanging="720"/>
        <w:rPr>
          <w:sz w:val="24"/>
          <w:szCs w:val="24"/>
        </w:rPr>
      </w:pPr>
      <w:r w:rsidRPr="006E2F4B">
        <w:rPr>
          <w:sz w:val="24"/>
          <w:szCs w:val="24"/>
        </w:rPr>
        <w:lastRenderedPageBreak/>
        <w:t>Fig</w:t>
      </w:r>
      <w:r>
        <w:rPr>
          <w:sz w:val="24"/>
          <w:szCs w:val="24"/>
        </w:rPr>
        <w:t>ure 3</w:t>
      </w:r>
      <w:r w:rsidRPr="006E2F4B">
        <w:rPr>
          <w:sz w:val="24"/>
          <w:szCs w:val="24"/>
        </w:rPr>
        <w:t>. Annual Habitat Suitability Index (HSI AMM) of Pacific saury in the Northwest Pacific from 2015 to 2021. The HSI was estimated using the historical model with non-scenario related oceanographic condition.</w:t>
      </w:r>
    </w:p>
    <w:p w14:paraId="1EF1EAB4" w14:textId="77777777" w:rsidR="004A004B" w:rsidRDefault="004A004B" w:rsidP="004A004B">
      <w:pPr>
        <w:ind w:left="810" w:hanging="810"/>
        <w:rPr>
          <w:sz w:val="24"/>
          <w:szCs w:val="24"/>
        </w:rPr>
      </w:pPr>
    </w:p>
    <w:p w14:paraId="41C5B8AF" w14:textId="77777777" w:rsidR="004A004B" w:rsidRDefault="004A004B" w:rsidP="004A004B">
      <w:pPr>
        <w:spacing w:before="240"/>
        <w:rPr>
          <w:sz w:val="24"/>
          <w:szCs w:val="24"/>
        </w:rPr>
      </w:pPr>
      <w:r w:rsidRPr="006E2F4B">
        <w:rPr>
          <w:noProof/>
          <w:sz w:val="24"/>
          <w:szCs w:val="24"/>
        </w:rPr>
        <w:drawing>
          <wp:inline distT="0" distB="0" distL="0" distR="0" wp14:anchorId="56E9DA34" wp14:editId="6464DEF8">
            <wp:extent cx="5943600" cy="2569845"/>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2569845"/>
                    </a:xfrm>
                    <a:prstGeom prst="rect">
                      <a:avLst/>
                    </a:prstGeom>
                  </pic:spPr>
                </pic:pic>
              </a:graphicData>
            </a:graphic>
          </wp:inline>
        </w:drawing>
      </w:r>
    </w:p>
    <w:p w14:paraId="594ADB61" w14:textId="77777777" w:rsidR="004A004B" w:rsidRDefault="004A004B" w:rsidP="004A004B">
      <w:pPr>
        <w:ind w:left="900" w:hanging="900"/>
        <w:rPr>
          <w:sz w:val="24"/>
          <w:szCs w:val="24"/>
        </w:rPr>
      </w:pPr>
      <w:r w:rsidRPr="006E2F4B">
        <w:rPr>
          <w:sz w:val="24"/>
          <w:szCs w:val="24"/>
        </w:rPr>
        <w:t>Fig</w:t>
      </w:r>
      <w:r>
        <w:rPr>
          <w:sz w:val="24"/>
          <w:szCs w:val="24"/>
        </w:rPr>
        <w:t>ure 4.</w:t>
      </w:r>
      <w:r w:rsidRPr="006E2F4B">
        <w:rPr>
          <w:sz w:val="24"/>
          <w:szCs w:val="24"/>
        </w:rPr>
        <w:t xml:space="preserve"> Annual latitudinal shift SHA of Pacific saury.  (A). Annual latitudinal shift in SHA on the three period. (B). Comparison of the latitudinal shift in current period and future period between non-scenario and scenario related oceanographic condition.</w:t>
      </w:r>
    </w:p>
    <w:p w14:paraId="27CEEEDB" w14:textId="77777777" w:rsidR="004A004B" w:rsidRDefault="004A004B" w:rsidP="004A004B">
      <w:pPr>
        <w:rPr>
          <w:sz w:val="24"/>
          <w:szCs w:val="24"/>
        </w:rPr>
      </w:pPr>
      <w:r w:rsidRPr="006E2F4B">
        <w:rPr>
          <w:noProof/>
          <w:sz w:val="24"/>
          <w:szCs w:val="24"/>
        </w:rPr>
        <w:drawing>
          <wp:inline distT="0" distB="0" distL="0" distR="0" wp14:anchorId="0CCAC762" wp14:editId="5A4FB4AB">
            <wp:extent cx="5943600" cy="25342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2534285"/>
                    </a:xfrm>
                    <a:prstGeom prst="rect">
                      <a:avLst/>
                    </a:prstGeom>
                  </pic:spPr>
                </pic:pic>
              </a:graphicData>
            </a:graphic>
          </wp:inline>
        </w:drawing>
      </w:r>
    </w:p>
    <w:p w14:paraId="48AE2080" w14:textId="77777777" w:rsidR="004A004B" w:rsidRDefault="004A004B" w:rsidP="004A004B">
      <w:pPr>
        <w:ind w:left="810" w:hanging="810"/>
        <w:rPr>
          <w:sz w:val="24"/>
          <w:szCs w:val="24"/>
        </w:rPr>
      </w:pPr>
      <w:r w:rsidRPr="006E2F4B">
        <w:rPr>
          <w:sz w:val="24"/>
          <w:szCs w:val="24"/>
        </w:rPr>
        <w:t>Fig</w:t>
      </w:r>
      <w:r>
        <w:rPr>
          <w:sz w:val="24"/>
          <w:szCs w:val="24"/>
        </w:rPr>
        <w:t>ure 5.</w:t>
      </w:r>
      <w:r w:rsidRPr="006E2F4B">
        <w:rPr>
          <w:sz w:val="24"/>
          <w:szCs w:val="24"/>
        </w:rPr>
        <w:t xml:space="preserve"> Annual longitudinal shift in suitable habitat area (SHA) of Pacific saury. (A). Annual longitudinal shift in SHA on the three period. (B). Comparison of the longitudinal shift in </w:t>
      </w:r>
      <w:r w:rsidRPr="006E2F4B">
        <w:rPr>
          <w:sz w:val="24"/>
          <w:szCs w:val="24"/>
        </w:rPr>
        <w:lastRenderedPageBreak/>
        <w:t>current period and future period between non-scenario and scenario related oceanographic condition.</w:t>
      </w:r>
    </w:p>
    <w:p w14:paraId="5B219947" w14:textId="77777777" w:rsidR="004A004B" w:rsidRDefault="004A004B" w:rsidP="004A004B">
      <w:pPr>
        <w:ind w:left="900" w:hanging="900"/>
        <w:rPr>
          <w:sz w:val="24"/>
          <w:szCs w:val="24"/>
        </w:rPr>
      </w:pPr>
    </w:p>
    <w:p w14:paraId="33021D46" w14:textId="77777777" w:rsidR="004A004B" w:rsidRDefault="004A004B" w:rsidP="004A004B">
      <w:pPr>
        <w:spacing w:before="240"/>
        <w:ind w:left="900" w:hanging="900"/>
        <w:rPr>
          <w:sz w:val="24"/>
          <w:szCs w:val="24"/>
        </w:rPr>
      </w:pPr>
      <w:r w:rsidRPr="006E2F4B">
        <w:rPr>
          <w:noProof/>
          <w:sz w:val="24"/>
          <w:szCs w:val="24"/>
        </w:rPr>
        <w:drawing>
          <wp:inline distT="0" distB="0" distL="0" distR="0" wp14:anchorId="3ED2FB8F" wp14:editId="3F0964F5">
            <wp:extent cx="5897479" cy="2562225"/>
            <wp:effectExtent l="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276" b="1055"/>
                    <a:stretch/>
                  </pic:blipFill>
                  <pic:spPr bwMode="auto">
                    <a:xfrm>
                      <a:off x="0" y="0"/>
                      <a:ext cx="5903056" cy="2564648"/>
                    </a:xfrm>
                    <a:prstGeom prst="rect">
                      <a:avLst/>
                    </a:prstGeom>
                    <a:ln>
                      <a:noFill/>
                    </a:ln>
                    <a:extLst>
                      <a:ext uri="{53640926-AAD7-44D8-BBD7-CCE9431645EC}">
                        <a14:shadowObscured xmlns:a14="http://schemas.microsoft.com/office/drawing/2010/main"/>
                      </a:ext>
                    </a:extLst>
                  </pic:spPr>
                </pic:pic>
              </a:graphicData>
            </a:graphic>
          </wp:inline>
        </w:drawing>
      </w:r>
    </w:p>
    <w:p w14:paraId="7329D028" w14:textId="77777777" w:rsidR="004A004B" w:rsidRDefault="004A004B" w:rsidP="004A004B">
      <w:pPr>
        <w:spacing w:before="240"/>
        <w:ind w:left="900" w:hanging="900"/>
        <w:rPr>
          <w:sz w:val="24"/>
          <w:szCs w:val="24"/>
        </w:rPr>
      </w:pPr>
      <w:r w:rsidRPr="006E2F4B">
        <w:rPr>
          <w:sz w:val="24"/>
          <w:szCs w:val="24"/>
        </w:rPr>
        <w:t>Fig</w:t>
      </w:r>
      <w:r>
        <w:rPr>
          <w:sz w:val="24"/>
          <w:szCs w:val="24"/>
        </w:rPr>
        <w:t>ure 6</w:t>
      </w:r>
      <w:r w:rsidRPr="006E2F4B">
        <w:rPr>
          <w:sz w:val="24"/>
          <w:szCs w:val="24"/>
        </w:rPr>
        <w:t xml:space="preserve">. Annual shift in number of </w:t>
      </w:r>
      <w:r>
        <w:rPr>
          <w:sz w:val="24"/>
          <w:szCs w:val="24"/>
        </w:rPr>
        <w:t>suitable habitat area</w:t>
      </w:r>
      <w:r w:rsidRPr="006E2F4B">
        <w:rPr>
          <w:sz w:val="24"/>
          <w:szCs w:val="24"/>
        </w:rPr>
        <w:t xml:space="preserve"> of Pacific saury.  (A). Annual shift in number of </w:t>
      </w:r>
      <w:r>
        <w:rPr>
          <w:sz w:val="24"/>
          <w:szCs w:val="24"/>
        </w:rPr>
        <w:t>suitable habitat area</w:t>
      </w:r>
      <w:r w:rsidRPr="006E2F4B">
        <w:rPr>
          <w:sz w:val="24"/>
          <w:szCs w:val="24"/>
        </w:rPr>
        <w:t xml:space="preserve"> grid on the three period. (B). Comparison of the number of </w:t>
      </w:r>
      <w:r>
        <w:rPr>
          <w:sz w:val="24"/>
          <w:szCs w:val="24"/>
        </w:rPr>
        <w:t>suitable habitat area</w:t>
      </w:r>
      <w:r w:rsidRPr="006E2F4B">
        <w:rPr>
          <w:sz w:val="24"/>
          <w:szCs w:val="24"/>
        </w:rPr>
        <w:t xml:space="preserve"> grid in current period and future period between non-scenario and scenario related oceanographic condition.</w:t>
      </w:r>
    </w:p>
    <w:p w14:paraId="65236033" w14:textId="77777777" w:rsidR="004A004B" w:rsidRDefault="004A004B" w:rsidP="004A004B">
      <w:pPr>
        <w:rPr>
          <w:sz w:val="24"/>
          <w:szCs w:val="24"/>
        </w:rPr>
      </w:pPr>
      <w:r>
        <w:rPr>
          <w:sz w:val="24"/>
          <w:szCs w:val="24"/>
        </w:rPr>
        <w:br w:type="page"/>
      </w:r>
    </w:p>
    <w:p w14:paraId="192E7526" w14:textId="77777777" w:rsidR="004A004B" w:rsidRPr="00A75FA6" w:rsidRDefault="004A004B" w:rsidP="004A004B">
      <w:pPr>
        <w:jc w:val="center"/>
        <w:rPr>
          <w:b/>
          <w:bCs/>
          <w:sz w:val="24"/>
          <w:szCs w:val="24"/>
        </w:rPr>
      </w:pPr>
      <w:r w:rsidRPr="00A75FA6">
        <w:rPr>
          <w:b/>
          <w:bCs/>
          <w:sz w:val="24"/>
          <w:szCs w:val="24"/>
        </w:rPr>
        <w:lastRenderedPageBreak/>
        <w:t>Equation</w:t>
      </w:r>
    </w:p>
    <w:p w14:paraId="2650E682" w14:textId="77777777" w:rsidR="004A004B" w:rsidRDefault="004A004B" w:rsidP="004A004B">
      <w:pPr>
        <w:spacing w:line="360" w:lineRule="auto"/>
        <w:jc w:val="both"/>
        <w:rPr>
          <w:sz w:val="24"/>
          <w:szCs w:val="24"/>
        </w:rPr>
      </w:pPr>
      <w:r w:rsidRPr="006E2F4B">
        <w:rPr>
          <w:noProof/>
          <w:sz w:val="24"/>
          <w:szCs w:val="24"/>
        </w:rPr>
        <mc:AlternateContent>
          <mc:Choice Requires="wps">
            <w:drawing>
              <wp:anchor distT="0" distB="0" distL="114300" distR="114300" simplePos="0" relativeHeight="251660288" behindDoc="0" locked="0" layoutInCell="1" allowOverlap="1" wp14:anchorId="64951247" wp14:editId="45EB1D36">
                <wp:simplePos x="0" y="0"/>
                <wp:positionH relativeFrom="column">
                  <wp:posOffset>-371475</wp:posOffset>
                </wp:positionH>
                <wp:positionV relativeFrom="paragraph">
                  <wp:posOffset>268605</wp:posOffset>
                </wp:positionV>
                <wp:extent cx="1977593" cy="522259"/>
                <wp:effectExtent l="0" t="0" r="0" b="0"/>
                <wp:wrapNone/>
                <wp:docPr id="23" name="TextBox 22">
                  <a:extLst xmlns:a="http://schemas.openxmlformats.org/drawingml/2006/main">
                    <a:ext uri="{FF2B5EF4-FFF2-40B4-BE49-F238E27FC236}">
                      <a16:creationId xmlns:a16="http://schemas.microsoft.com/office/drawing/2014/main" id="{55558E98-C4E8-4414-899C-5E8F0C82FD12}"/>
                    </a:ext>
                  </a:extLst>
                </wp:docPr>
                <wp:cNvGraphicFramePr/>
                <a:graphic xmlns:a="http://schemas.openxmlformats.org/drawingml/2006/main">
                  <a:graphicData uri="http://schemas.microsoft.com/office/word/2010/wordprocessingShape">
                    <wps:wsp>
                      <wps:cNvSpPr txBox="1"/>
                      <wps:spPr>
                        <a:xfrm>
                          <a:off x="0" y="0"/>
                          <a:ext cx="1977593" cy="522259"/>
                        </a:xfrm>
                        <a:prstGeom prst="rect">
                          <a:avLst/>
                        </a:prstGeom>
                        <a:noFill/>
                      </wps:spPr>
                      <wps:txbx>
                        <w:txbxContent>
                          <w:p w14:paraId="7855E11B" w14:textId="77777777" w:rsidR="004A004B" w:rsidRPr="00A75FA6" w:rsidRDefault="000F6DE0" w:rsidP="004A004B">
                            <w:pPr>
                              <w:rPr>
                                <w:rFonts w:ascii="Cambria Math" w:hAnsi="+mn-cs"/>
                                <w:i/>
                                <w:iCs/>
                                <w:color w:val="000000" w:themeColor="text1"/>
                                <w:kern w:val="24"/>
                                <w:sz w:val="24"/>
                                <w:szCs w:val="24"/>
                              </w:rPr>
                            </w:pPr>
                            <m:oMathPara>
                              <m:oMathParaPr>
                                <m:jc m:val="centerGroup"/>
                              </m:oMathParaPr>
                              <m:oMath>
                                <m:sSub>
                                  <m:sSubPr>
                                    <m:ctrlPr>
                                      <w:rPr>
                                        <w:rFonts w:ascii="Cambria Math" w:eastAsiaTheme="minorEastAsia" w:hAnsi="Cambria Math"/>
                                        <w:i/>
                                        <w:iCs/>
                                        <w:color w:val="000000" w:themeColor="text1"/>
                                        <w:kern w:val="24"/>
                                        <w:sz w:val="24"/>
                                        <w:szCs w:val="24"/>
                                      </w:rPr>
                                    </m:ctrlPr>
                                  </m:sSubPr>
                                  <m:e>
                                    <m:r>
                                      <w:rPr>
                                        <w:rFonts w:ascii="Cambria Math" w:hAnsi="Cambria Math"/>
                                        <w:color w:val="000000" w:themeColor="text1"/>
                                        <w:kern w:val="24"/>
                                        <w:sz w:val="24"/>
                                        <w:szCs w:val="24"/>
                                      </w:rPr>
                                      <m:t>SI</m:t>
                                    </m:r>
                                  </m:e>
                                  <m:sub>
                                    <m:r>
                                      <w:rPr>
                                        <w:rFonts w:ascii="Cambria Math" w:hAnsi="Cambria Math"/>
                                        <w:color w:val="000000" w:themeColor="text1"/>
                                        <w:kern w:val="24"/>
                                        <w:sz w:val="24"/>
                                        <w:szCs w:val="24"/>
                                      </w:rPr>
                                      <m:t>i(k)</m:t>
                                    </m:r>
                                  </m:sub>
                                </m:sSub>
                                <m:r>
                                  <w:rPr>
                                    <w:rFonts w:ascii="Cambria Math" w:hAnsi="Cambria Math"/>
                                    <w:color w:val="000000" w:themeColor="text1"/>
                                    <w:kern w:val="24"/>
                                    <w:sz w:val="24"/>
                                    <w:szCs w:val="24"/>
                                  </w:rPr>
                                  <m:t>=</m:t>
                                </m:r>
                                <m:f>
                                  <m:fPr>
                                    <m:ctrlPr>
                                      <w:rPr>
                                        <w:rFonts w:ascii="Cambria Math" w:eastAsiaTheme="minorEastAsia" w:hAnsi="Cambria Math"/>
                                        <w:i/>
                                        <w:iCs/>
                                        <w:color w:val="000000" w:themeColor="text1"/>
                                        <w:kern w:val="24"/>
                                        <w:sz w:val="24"/>
                                        <w:szCs w:val="24"/>
                                      </w:rPr>
                                    </m:ctrlPr>
                                  </m:fPr>
                                  <m:num>
                                    <m:sSub>
                                      <m:sSubPr>
                                        <m:ctrlPr>
                                          <w:rPr>
                                            <w:rFonts w:ascii="Cambria Math" w:eastAsiaTheme="minorEastAsia" w:hAnsi="Cambria Math"/>
                                            <w:i/>
                                            <w:iCs/>
                                            <w:color w:val="000000" w:themeColor="text1"/>
                                            <w:kern w:val="24"/>
                                            <w:sz w:val="24"/>
                                            <w:szCs w:val="24"/>
                                          </w:rPr>
                                        </m:ctrlPr>
                                      </m:sSubPr>
                                      <m:e>
                                        <m:r>
                                          <w:rPr>
                                            <w:rFonts w:ascii="Cambria Math" w:hAnsi="Cambria Math"/>
                                            <w:color w:val="000000" w:themeColor="text1"/>
                                            <w:kern w:val="24"/>
                                            <w:sz w:val="24"/>
                                            <w:szCs w:val="24"/>
                                          </w:rPr>
                                          <m:t>Effort</m:t>
                                        </m:r>
                                      </m:e>
                                      <m:sub>
                                        <m:r>
                                          <w:rPr>
                                            <w:rFonts w:ascii="Cambria Math" w:hAnsi="Cambria Math"/>
                                            <w:color w:val="000000" w:themeColor="text1"/>
                                            <w:kern w:val="24"/>
                                            <w:sz w:val="24"/>
                                            <w:szCs w:val="24"/>
                                          </w:rPr>
                                          <m:t>i(k)</m:t>
                                        </m:r>
                                      </m:sub>
                                    </m:sSub>
                                  </m:num>
                                  <m:den>
                                    <m:sSub>
                                      <m:sSubPr>
                                        <m:ctrlPr>
                                          <w:rPr>
                                            <w:rFonts w:ascii="Cambria Math" w:eastAsiaTheme="minorEastAsia" w:hAnsi="Cambria Math"/>
                                            <w:i/>
                                            <w:iCs/>
                                            <w:color w:val="000000" w:themeColor="text1"/>
                                            <w:kern w:val="24"/>
                                            <w:sz w:val="24"/>
                                            <w:szCs w:val="24"/>
                                          </w:rPr>
                                        </m:ctrlPr>
                                      </m:sSubPr>
                                      <m:e>
                                        <m:r>
                                          <w:rPr>
                                            <w:rFonts w:ascii="Cambria Math" w:hAnsi="Cambria Math"/>
                                            <w:color w:val="000000" w:themeColor="text1"/>
                                            <w:kern w:val="24"/>
                                            <w:sz w:val="24"/>
                                            <w:szCs w:val="24"/>
                                          </w:rPr>
                                          <m:t>Effort</m:t>
                                        </m:r>
                                      </m:e>
                                      <m:sub>
                                        <m:r>
                                          <w:rPr>
                                            <w:rFonts w:ascii="Cambria Math" w:hAnsi="Cambria Math"/>
                                            <w:color w:val="000000" w:themeColor="text1"/>
                                            <w:kern w:val="24"/>
                                            <w:sz w:val="24"/>
                                            <w:szCs w:val="24"/>
                                          </w:rPr>
                                          <m:t>max</m:t>
                                        </m:r>
                                      </m:sub>
                                    </m:sSub>
                                  </m:den>
                                </m:f>
                              </m:oMath>
                            </m:oMathPara>
                          </w:p>
                        </w:txbxContent>
                      </wps:txbx>
                      <wps:bodyPr wrap="square" lIns="0" tIns="0" rIns="0" bIns="0" rtlCol="0">
                        <a:spAutoFit/>
                      </wps:bodyPr>
                    </wps:wsp>
                  </a:graphicData>
                </a:graphic>
              </wp:anchor>
            </w:drawing>
          </mc:Choice>
          <mc:Fallback>
            <w:pict>
              <v:shapetype w14:anchorId="64951247" id="_x0000_t202" coordsize="21600,21600" o:spt="202" path="m,l,21600r21600,l21600,xe">
                <v:stroke joinstyle="miter"/>
                <v:path gradientshapeok="t" o:connecttype="rect"/>
              </v:shapetype>
              <v:shape id="TextBox 22" o:spid="_x0000_s1026" type="#_x0000_t202" style="position:absolute;left:0;text-align:left;margin-left:-29.25pt;margin-top:21.15pt;width:155.7pt;height:41.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" filled="f" stroked="f">
                <v:textbox style="mso-fit-shape-to-text:t" inset="0,0,0,0">
                  <w:txbxContent>
                    <w:p w14:paraId="7855E11B" w14:textId="77777777" w:rsidR="004A004B" w:rsidRPr="00A75FA6" w:rsidRDefault="000F6DE0" w:rsidP="004A004B">
                      <w:pPr>
                        <w:rPr>
                          <w:rFonts w:ascii="Cambria Math" w:hAnsi="+mn-cs"/>
                          <w:i/>
                          <w:iCs/>
                          <w:color w:val="000000" w:themeColor="text1"/>
                          <w:kern w:val="24"/>
                          <w:sz w:val="24"/>
                          <w:szCs w:val="24"/>
                        </w:rPr>
                      </w:pPr>
                      <m:oMathPara>
                        <m:oMathParaPr>
                          <m:jc m:val="centerGroup"/>
                        </m:oMathParaPr>
                        <m:oMath>
                          <m:sSub>
                            <m:sSubPr>
                              <m:ctrlPr>
                                <w:rPr>
                                  <w:rFonts w:ascii="Cambria Math" w:eastAsiaTheme="minorEastAsia" w:hAnsi="Cambria Math"/>
                                  <w:i/>
                                  <w:iCs/>
                                  <w:color w:val="000000" w:themeColor="text1"/>
                                  <w:kern w:val="24"/>
                                  <w:sz w:val="24"/>
                                  <w:szCs w:val="24"/>
                                </w:rPr>
                              </m:ctrlPr>
                            </m:sSubPr>
                            <m:e>
                              <m:r>
                                <w:rPr>
                                  <w:rFonts w:ascii="Cambria Math" w:hAnsi="Cambria Math"/>
                                  <w:color w:val="000000" w:themeColor="text1"/>
                                  <w:kern w:val="24"/>
                                  <w:sz w:val="24"/>
                                  <w:szCs w:val="24"/>
                                </w:rPr>
                                <m:t>SI</m:t>
                              </m:r>
                            </m:e>
                            <m:sub>
                              <m:r>
                                <w:rPr>
                                  <w:rFonts w:ascii="Cambria Math" w:hAnsi="Cambria Math"/>
                                  <w:color w:val="000000" w:themeColor="text1"/>
                                  <w:kern w:val="24"/>
                                  <w:sz w:val="24"/>
                                  <w:szCs w:val="24"/>
                                </w:rPr>
                                <m:t>i(k)</m:t>
                              </m:r>
                            </m:sub>
                          </m:sSub>
                          <m:r>
                            <w:rPr>
                              <w:rFonts w:ascii="Cambria Math" w:hAnsi="Cambria Math"/>
                              <w:color w:val="000000" w:themeColor="text1"/>
                              <w:kern w:val="24"/>
                              <w:sz w:val="24"/>
                              <w:szCs w:val="24"/>
                            </w:rPr>
                            <m:t>=</m:t>
                          </m:r>
                          <m:f>
                            <m:fPr>
                              <m:ctrlPr>
                                <w:rPr>
                                  <w:rFonts w:ascii="Cambria Math" w:eastAsiaTheme="minorEastAsia" w:hAnsi="Cambria Math"/>
                                  <w:i/>
                                  <w:iCs/>
                                  <w:color w:val="000000" w:themeColor="text1"/>
                                  <w:kern w:val="24"/>
                                  <w:sz w:val="24"/>
                                  <w:szCs w:val="24"/>
                                </w:rPr>
                              </m:ctrlPr>
                            </m:fPr>
                            <m:num>
                              <m:sSub>
                                <m:sSubPr>
                                  <m:ctrlPr>
                                    <w:rPr>
                                      <w:rFonts w:ascii="Cambria Math" w:eastAsiaTheme="minorEastAsia" w:hAnsi="Cambria Math"/>
                                      <w:i/>
                                      <w:iCs/>
                                      <w:color w:val="000000" w:themeColor="text1"/>
                                      <w:kern w:val="24"/>
                                      <w:sz w:val="24"/>
                                      <w:szCs w:val="24"/>
                                    </w:rPr>
                                  </m:ctrlPr>
                                </m:sSubPr>
                                <m:e>
                                  <m:r>
                                    <w:rPr>
                                      <w:rFonts w:ascii="Cambria Math" w:hAnsi="Cambria Math"/>
                                      <w:color w:val="000000" w:themeColor="text1"/>
                                      <w:kern w:val="24"/>
                                      <w:sz w:val="24"/>
                                      <w:szCs w:val="24"/>
                                    </w:rPr>
                                    <m:t>Effort</m:t>
                                  </m:r>
                                </m:e>
                                <m:sub>
                                  <m:r>
                                    <w:rPr>
                                      <w:rFonts w:ascii="Cambria Math" w:hAnsi="Cambria Math"/>
                                      <w:color w:val="000000" w:themeColor="text1"/>
                                      <w:kern w:val="24"/>
                                      <w:sz w:val="24"/>
                                      <w:szCs w:val="24"/>
                                    </w:rPr>
                                    <m:t>i(k)</m:t>
                                  </m:r>
                                </m:sub>
                              </m:sSub>
                            </m:num>
                            <m:den>
                              <m:sSub>
                                <m:sSubPr>
                                  <m:ctrlPr>
                                    <w:rPr>
                                      <w:rFonts w:ascii="Cambria Math" w:eastAsiaTheme="minorEastAsia" w:hAnsi="Cambria Math"/>
                                      <w:i/>
                                      <w:iCs/>
                                      <w:color w:val="000000" w:themeColor="text1"/>
                                      <w:kern w:val="24"/>
                                      <w:sz w:val="24"/>
                                      <w:szCs w:val="24"/>
                                    </w:rPr>
                                  </m:ctrlPr>
                                </m:sSubPr>
                                <m:e>
                                  <m:r>
                                    <w:rPr>
                                      <w:rFonts w:ascii="Cambria Math" w:hAnsi="Cambria Math"/>
                                      <w:color w:val="000000" w:themeColor="text1"/>
                                      <w:kern w:val="24"/>
                                      <w:sz w:val="24"/>
                                      <w:szCs w:val="24"/>
                                    </w:rPr>
                                    <m:t>Effort</m:t>
                                  </m:r>
                                </m:e>
                                <m:sub>
                                  <m:r>
                                    <w:rPr>
                                      <w:rFonts w:ascii="Cambria Math" w:hAnsi="Cambria Math"/>
                                      <w:color w:val="000000" w:themeColor="text1"/>
                                      <w:kern w:val="24"/>
                                      <w:sz w:val="24"/>
                                      <w:szCs w:val="24"/>
                                    </w:rPr>
                                    <m:t>max</m:t>
                                  </m:r>
                                </m:sub>
                              </m:sSub>
                            </m:den>
                          </m:f>
                        </m:oMath>
                      </m:oMathPara>
                    </w:p>
                  </w:txbxContent>
                </v:textbox>
              </v:shape>
            </w:pict>
          </mc:Fallback>
        </mc:AlternateContent>
      </w:r>
      <w:r>
        <w:rPr>
          <w:sz w:val="24"/>
          <w:szCs w:val="24"/>
        </w:rPr>
        <w:t>Eq 1. Effort based normalization to calculate suitability index for each environmental variable</w:t>
      </w:r>
    </w:p>
    <w:p w14:paraId="08A7C972" w14:textId="77777777" w:rsidR="004A004B" w:rsidRDefault="004A004B" w:rsidP="004A004B">
      <w:pPr>
        <w:spacing w:line="360" w:lineRule="auto"/>
        <w:jc w:val="both"/>
        <w:rPr>
          <w:sz w:val="24"/>
          <w:szCs w:val="24"/>
        </w:rPr>
      </w:pPr>
    </w:p>
    <w:p w14:paraId="27E7C114" w14:textId="77777777" w:rsidR="004A004B" w:rsidRPr="006E2F4B" w:rsidRDefault="004A004B" w:rsidP="004A004B">
      <w:pPr>
        <w:spacing w:line="360" w:lineRule="auto"/>
        <w:jc w:val="both"/>
        <w:rPr>
          <w:sz w:val="24"/>
          <w:szCs w:val="24"/>
        </w:rPr>
      </w:pPr>
    </w:p>
    <w:p w14:paraId="00E6EB9E" w14:textId="77777777" w:rsidR="004A004B" w:rsidRPr="006E2F4B" w:rsidRDefault="004A004B" w:rsidP="004A004B">
      <w:pPr>
        <w:spacing w:before="240" w:line="360" w:lineRule="auto"/>
        <w:jc w:val="both"/>
        <w:rPr>
          <w:sz w:val="24"/>
          <w:szCs w:val="24"/>
        </w:rPr>
      </w:pPr>
      <w:r w:rsidRPr="006E2F4B">
        <w:rPr>
          <w:noProof/>
          <w:sz w:val="24"/>
          <w:szCs w:val="24"/>
        </w:rPr>
        <mc:AlternateContent>
          <mc:Choice Requires="wps">
            <w:drawing>
              <wp:anchor distT="0" distB="0" distL="114300" distR="114300" simplePos="0" relativeHeight="251661312" behindDoc="0" locked="0" layoutInCell="1" allowOverlap="1" wp14:anchorId="67CC7E47" wp14:editId="2B154595">
                <wp:simplePos x="0" y="0"/>
                <wp:positionH relativeFrom="margin">
                  <wp:posOffset>-371475</wp:posOffset>
                </wp:positionH>
                <wp:positionV relativeFrom="paragraph">
                  <wp:posOffset>389890</wp:posOffset>
                </wp:positionV>
                <wp:extent cx="1977593" cy="506292"/>
                <wp:effectExtent l="0" t="0" r="0" b="0"/>
                <wp:wrapNone/>
                <wp:docPr id="24" name="TextBox 23">
                  <a:extLst xmlns:a="http://schemas.openxmlformats.org/drawingml/2006/main">
                    <a:ext uri="{FF2B5EF4-FFF2-40B4-BE49-F238E27FC236}">
                      <a16:creationId xmlns:a16="http://schemas.microsoft.com/office/drawing/2014/main" id="{96F97A68-7CB8-413A-8516-E109EEA1241D}"/>
                    </a:ext>
                  </a:extLst>
                </wp:docPr>
                <wp:cNvGraphicFramePr/>
                <a:graphic xmlns:a="http://schemas.openxmlformats.org/drawingml/2006/main">
                  <a:graphicData uri="http://schemas.microsoft.com/office/word/2010/wordprocessingShape">
                    <wps:wsp>
                      <wps:cNvSpPr txBox="1"/>
                      <wps:spPr>
                        <a:xfrm>
                          <a:off x="0" y="0"/>
                          <a:ext cx="1977593" cy="506292"/>
                        </a:xfrm>
                        <a:prstGeom prst="rect">
                          <a:avLst/>
                        </a:prstGeom>
                        <a:noFill/>
                      </wps:spPr>
                      <wps:txbx>
                        <w:txbxContent>
                          <w:p w14:paraId="38B9B376" w14:textId="77777777" w:rsidR="004A004B" w:rsidRPr="00A75FA6" w:rsidRDefault="004A004B" w:rsidP="004A004B">
                            <w:pPr>
                              <w:rPr>
                                <w:rFonts w:ascii="Cambria Math" w:hAnsi="Cambria Math"/>
                                <w:i/>
                                <w:iCs/>
                                <w:color w:val="000000" w:themeColor="text1"/>
                                <w:kern w:val="24"/>
                                <w:sz w:val="24"/>
                                <w:szCs w:val="24"/>
                              </w:rPr>
                            </w:pPr>
                            <m:oMathPara>
                              <m:oMathParaPr>
                                <m:jc m:val="centerGroup"/>
                              </m:oMathParaPr>
                              <m:oMath>
                                <m:r>
                                  <w:rPr>
                                    <w:rFonts w:ascii="Cambria Math" w:hAnsi="Cambria Math"/>
                                    <w:color w:val="000000" w:themeColor="text1"/>
                                    <w:kern w:val="24"/>
                                    <w:sz w:val="24"/>
                                    <w:szCs w:val="24"/>
                                  </w:rPr>
                                  <m:t>y=</m:t>
                                </m:r>
                                <m:f>
                                  <m:fPr>
                                    <m:ctrlPr>
                                      <w:rPr>
                                        <w:rFonts w:ascii="Cambria Math" w:eastAsiaTheme="minorEastAsia" w:hAnsi="Cambria Math"/>
                                        <w:i/>
                                        <w:iCs/>
                                        <w:color w:val="000000" w:themeColor="text1"/>
                                        <w:kern w:val="24"/>
                                        <w:sz w:val="24"/>
                                        <w:szCs w:val="24"/>
                                      </w:rPr>
                                    </m:ctrlPr>
                                  </m:fPr>
                                  <m:num>
                                    <m:r>
                                      <w:rPr>
                                        <w:rFonts w:ascii="Cambria Math" w:hAnsi="Cambria Math"/>
                                        <w:color w:val="000000" w:themeColor="text1"/>
                                        <w:kern w:val="24"/>
                                        <w:sz w:val="24"/>
                                        <w:szCs w:val="24"/>
                                      </w:rPr>
                                      <m:t>1</m:t>
                                    </m:r>
                                  </m:num>
                                  <m:den>
                                    <m:r>
                                      <w:rPr>
                                        <w:rFonts w:ascii="Cambria Math" w:hAnsi="Cambria Math"/>
                                        <w:color w:val="000000" w:themeColor="text1"/>
                                        <w:kern w:val="24"/>
                                        <w:sz w:val="24"/>
                                        <w:szCs w:val="24"/>
                                      </w:rPr>
                                      <m:t>(a+bx+c</m:t>
                                    </m:r>
                                    <m:sSup>
                                      <m:sSupPr>
                                        <m:ctrlPr>
                                          <w:rPr>
                                            <w:rFonts w:ascii="Cambria Math" w:eastAsiaTheme="minorEastAsia" w:hAnsi="Cambria Math"/>
                                            <w:i/>
                                            <w:iCs/>
                                            <w:color w:val="000000" w:themeColor="text1"/>
                                            <w:kern w:val="24"/>
                                            <w:sz w:val="24"/>
                                            <w:szCs w:val="24"/>
                                          </w:rPr>
                                        </m:ctrlPr>
                                      </m:sSupPr>
                                      <m:e>
                                        <m:r>
                                          <w:rPr>
                                            <w:rFonts w:ascii="Cambria Math" w:hAnsi="Cambria Math"/>
                                            <w:color w:val="000000" w:themeColor="text1"/>
                                            <w:kern w:val="24"/>
                                            <w:sz w:val="24"/>
                                            <w:szCs w:val="24"/>
                                          </w:rPr>
                                          <m:t>x</m:t>
                                        </m:r>
                                      </m:e>
                                      <m:sup>
                                        <m:r>
                                          <w:rPr>
                                            <w:rFonts w:ascii="Cambria Math" w:hAnsi="Cambria Math"/>
                                            <w:color w:val="000000" w:themeColor="text1"/>
                                            <w:kern w:val="24"/>
                                            <w:sz w:val="24"/>
                                            <w:szCs w:val="24"/>
                                          </w:rPr>
                                          <m:t>2</m:t>
                                        </m:r>
                                      </m:sup>
                                    </m:sSup>
                                    <m:r>
                                      <w:rPr>
                                        <w:rFonts w:ascii="Cambria Math" w:hAnsi="Cambria Math"/>
                                        <w:color w:val="000000" w:themeColor="text1"/>
                                        <w:kern w:val="24"/>
                                        <w:sz w:val="24"/>
                                        <w:szCs w:val="24"/>
                                      </w:rPr>
                                      <m:t>)</m:t>
                                    </m:r>
                                  </m:den>
                                </m:f>
                              </m:oMath>
                            </m:oMathPara>
                          </w:p>
                        </w:txbxContent>
                      </wps:txbx>
                      <wps:bodyPr wrap="square" lIns="0" tIns="0" rIns="0" bIns="0" rtlCol="0">
                        <a:spAutoFit/>
                      </wps:bodyPr>
                    </wps:wsp>
                  </a:graphicData>
                </a:graphic>
              </wp:anchor>
            </w:drawing>
          </mc:Choice>
          <mc:Fallback>
            <w:pict>
              <v:shape w14:anchorId="67CC7E47" id="TextBox 23" o:spid="_x0000_s1027" type="#_x0000_t202" style="position:absolute;left:0;text-align:left;margin-left:-29.25pt;margin-top:30.7pt;width:155.7pt;height:39.85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" filled="f" stroked="f">
                <v:textbox style="mso-fit-shape-to-text:t" inset="0,0,0,0">
                  <w:txbxContent>
                    <w:p w14:paraId="38B9B376" w14:textId="77777777" w:rsidR="004A004B" w:rsidRPr="00A75FA6" w:rsidRDefault="004A004B" w:rsidP="004A004B">
                      <w:pPr>
                        <w:rPr>
                          <w:rFonts w:ascii="Cambria Math" w:hAnsi="Cambria Math"/>
                          <w:i/>
                          <w:iCs/>
                          <w:color w:val="000000" w:themeColor="text1"/>
                          <w:kern w:val="24"/>
                          <w:sz w:val="24"/>
                          <w:szCs w:val="24"/>
                        </w:rPr>
                      </w:pPr>
                      <m:oMathPara>
                        <m:oMathParaPr>
                          <m:jc m:val="centerGroup"/>
                        </m:oMathParaPr>
                        <m:oMath>
                          <m:r>
                            <w:rPr>
                              <w:rFonts w:ascii="Cambria Math" w:hAnsi="Cambria Math"/>
                              <w:color w:val="000000" w:themeColor="text1"/>
                              <w:kern w:val="24"/>
                              <w:sz w:val="24"/>
                              <w:szCs w:val="24"/>
                            </w:rPr>
                            <m:t>y=</m:t>
                          </m:r>
                          <m:f>
                            <m:fPr>
                              <m:ctrlPr>
                                <w:rPr>
                                  <w:rFonts w:ascii="Cambria Math" w:eastAsiaTheme="minorEastAsia" w:hAnsi="Cambria Math"/>
                                  <w:i/>
                                  <w:iCs/>
                                  <w:color w:val="000000" w:themeColor="text1"/>
                                  <w:kern w:val="24"/>
                                  <w:sz w:val="24"/>
                                  <w:szCs w:val="24"/>
                                </w:rPr>
                              </m:ctrlPr>
                            </m:fPr>
                            <m:num>
                              <m:r>
                                <w:rPr>
                                  <w:rFonts w:ascii="Cambria Math" w:hAnsi="Cambria Math"/>
                                  <w:color w:val="000000" w:themeColor="text1"/>
                                  <w:kern w:val="24"/>
                                  <w:sz w:val="24"/>
                                  <w:szCs w:val="24"/>
                                </w:rPr>
                                <m:t>1</m:t>
                              </m:r>
                            </m:num>
                            <m:den>
                              <m:r>
                                <w:rPr>
                                  <w:rFonts w:ascii="Cambria Math" w:hAnsi="Cambria Math"/>
                                  <w:color w:val="000000" w:themeColor="text1"/>
                                  <w:kern w:val="24"/>
                                  <w:sz w:val="24"/>
                                  <w:szCs w:val="24"/>
                                </w:rPr>
                                <m:t>(a+bx+c</m:t>
                              </m:r>
                              <m:sSup>
                                <m:sSupPr>
                                  <m:ctrlPr>
                                    <w:rPr>
                                      <w:rFonts w:ascii="Cambria Math" w:eastAsiaTheme="minorEastAsia" w:hAnsi="Cambria Math"/>
                                      <w:i/>
                                      <w:iCs/>
                                      <w:color w:val="000000" w:themeColor="text1"/>
                                      <w:kern w:val="24"/>
                                      <w:sz w:val="24"/>
                                      <w:szCs w:val="24"/>
                                    </w:rPr>
                                  </m:ctrlPr>
                                </m:sSupPr>
                                <m:e>
                                  <m:r>
                                    <w:rPr>
                                      <w:rFonts w:ascii="Cambria Math" w:hAnsi="Cambria Math"/>
                                      <w:color w:val="000000" w:themeColor="text1"/>
                                      <w:kern w:val="24"/>
                                      <w:sz w:val="24"/>
                                      <w:szCs w:val="24"/>
                                    </w:rPr>
                                    <m:t>x</m:t>
                                  </m:r>
                                </m:e>
                                <m:sup>
                                  <m:r>
                                    <w:rPr>
                                      <w:rFonts w:ascii="Cambria Math" w:hAnsi="Cambria Math"/>
                                      <w:color w:val="000000" w:themeColor="text1"/>
                                      <w:kern w:val="24"/>
                                      <w:sz w:val="24"/>
                                      <w:szCs w:val="24"/>
                                    </w:rPr>
                                    <m:t>2</m:t>
                                  </m:r>
                                </m:sup>
                              </m:sSup>
                              <m:r>
                                <w:rPr>
                                  <w:rFonts w:ascii="Cambria Math" w:hAnsi="Cambria Math"/>
                                  <w:color w:val="000000" w:themeColor="text1"/>
                                  <w:kern w:val="24"/>
                                  <w:sz w:val="24"/>
                                  <w:szCs w:val="24"/>
                                </w:rPr>
                                <m:t>)</m:t>
                              </m:r>
                            </m:den>
                          </m:f>
                        </m:oMath>
                      </m:oMathPara>
                    </w:p>
                  </w:txbxContent>
                </v:textbox>
                <w10:wrap anchorx="margin"/>
              </v:shape>
            </w:pict>
          </mc:Fallback>
        </mc:AlternateContent>
      </w:r>
      <w:r>
        <w:rPr>
          <w:sz w:val="24"/>
          <w:szCs w:val="24"/>
        </w:rPr>
        <w:t>Eq 2. Yield density model to fit each of the suitability index with the respective environmental variables</w:t>
      </w:r>
    </w:p>
    <w:p w14:paraId="35E9CD96" w14:textId="77777777" w:rsidR="004A004B" w:rsidRDefault="004A004B" w:rsidP="004A004B">
      <w:pPr>
        <w:rPr>
          <w:sz w:val="24"/>
          <w:szCs w:val="24"/>
        </w:rPr>
      </w:pPr>
    </w:p>
    <w:p w14:paraId="6580CE61" w14:textId="77777777" w:rsidR="004A004B" w:rsidRPr="006E2F4B" w:rsidRDefault="004A004B" w:rsidP="004A004B">
      <w:pPr>
        <w:rPr>
          <w:sz w:val="24"/>
          <w:szCs w:val="24"/>
        </w:rPr>
      </w:pPr>
    </w:p>
    <w:p w14:paraId="197A5135" w14:textId="77777777" w:rsidR="004A004B" w:rsidRPr="006E2F4B" w:rsidRDefault="004A004B" w:rsidP="004A004B">
      <w:pPr>
        <w:rPr>
          <w:sz w:val="24"/>
          <w:szCs w:val="24"/>
        </w:rPr>
      </w:pPr>
      <w:r>
        <w:rPr>
          <w:sz w:val="24"/>
          <w:szCs w:val="24"/>
        </w:rPr>
        <w:t>Eq 3. Arithmetic mean model habitat suitability index</w:t>
      </w:r>
    </w:p>
    <w:p w14:paraId="3ADAD14C" w14:textId="30093C8E" w:rsidR="001D722E" w:rsidRPr="004A004B" w:rsidRDefault="004A004B" w:rsidP="004A004B">
      <w:pPr>
        <w:tabs>
          <w:tab w:val="left" w:pos="2880"/>
        </w:tabs>
        <w:spacing w:before="240"/>
        <w:rPr>
          <w:sz w:val="24"/>
          <w:szCs w:val="24"/>
        </w:rPr>
      </w:pPr>
      <w:r w:rsidRPr="006E2F4B">
        <w:rPr>
          <w:sz w:val="24"/>
          <w:szCs w:val="24"/>
        </w:rPr>
        <w:tab/>
      </w:r>
      <w:r w:rsidRPr="006E2F4B">
        <w:rPr>
          <w:noProof/>
          <w:sz w:val="24"/>
          <w:szCs w:val="24"/>
        </w:rPr>
        <mc:AlternateContent>
          <mc:Choice Requires="wps">
            <w:drawing>
              <wp:anchor distT="0" distB="0" distL="114300" distR="114300" simplePos="0" relativeHeight="251662336" behindDoc="0" locked="0" layoutInCell="1" allowOverlap="1" wp14:anchorId="6A1B2C29" wp14:editId="2F7A023A">
                <wp:simplePos x="0" y="0"/>
                <wp:positionH relativeFrom="column">
                  <wp:posOffset>0</wp:posOffset>
                </wp:positionH>
                <wp:positionV relativeFrom="paragraph">
                  <wp:posOffset>0</wp:posOffset>
                </wp:positionV>
                <wp:extent cx="5749266" cy="527580"/>
                <wp:effectExtent l="0" t="0" r="0" b="0"/>
                <wp:wrapNone/>
                <wp:docPr id="33" name="TextBox 32">
                  <a:extLst xmlns:a="http://schemas.openxmlformats.org/drawingml/2006/main">
                    <a:ext uri="{FF2B5EF4-FFF2-40B4-BE49-F238E27FC236}">
                      <a16:creationId xmlns:a16="http://schemas.microsoft.com/office/drawing/2014/main" id="{20C73DB3-AC1D-40BC-979F-0DEBB8C7C846}"/>
                    </a:ext>
                  </a:extLst>
                </wp:docPr>
                <wp:cNvGraphicFramePr/>
                <a:graphic xmlns:a="http://schemas.openxmlformats.org/drawingml/2006/main">
                  <a:graphicData uri="http://schemas.microsoft.com/office/word/2010/wordprocessingShape">
                    <wps:wsp>
                      <wps:cNvSpPr txBox="1"/>
                      <wps:spPr>
                        <a:xfrm>
                          <a:off x="0" y="0"/>
                          <a:ext cx="5749266" cy="527580"/>
                        </a:xfrm>
                        <a:prstGeom prst="rect">
                          <a:avLst/>
                        </a:prstGeom>
                        <a:noFill/>
                      </wps:spPr>
                      <wps:txbx>
                        <w:txbxContent>
                          <w:p w14:paraId="2DA60174" w14:textId="77777777" w:rsidR="004A004B" w:rsidRPr="00A75FA6" w:rsidRDefault="004A004B" w:rsidP="004A004B">
                            <w:pPr>
                              <w:rPr>
                                <w:rFonts w:ascii="Cambria Math" w:hAnsi="Cambria Math"/>
                                <w:i/>
                                <w:iCs/>
                                <w:color w:val="000000" w:themeColor="text1"/>
                                <w:kern w:val="24"/>
                                <w:sz w:val="24"/>
                                <w:szCs w:val="24"/>
                              </w:rPr>
                            </w:pPr>
                            <m:oMathPara>
                              <m:oMathParaPr>
                                <m:jc m:val="centerGroup"/>
                              </m:oMathParaPr>
                              <m:oMath>
                                <m:r>
                                  <w:rPr>
                                    <w:rFonts w:ascii="Cambria Math" w:hAnsi="Cambria Math"/>
                                    <w:color w:val="000000" w:themeColor="text1"/>
                                    <w:kern w:val="24"/>
                                    <w:sz w:val="24"/>
                                    <w:szCs w:val="24"/>
                                  </w:rPr>
                                  <m:t>HSI=</m:t>
                                </m:r>
                                <m:f>
                                  <m:fPr>
                                    <m:ctrlPr>
                                      <w:rPr>
                                        <w:rFonts w:ascii="Cambria Math" w:eastAsiaTheme="minorEastAsia" w:hAnsi="Cambria Math"/>
                                        <w:i/>
                                        <w:iCs/>
                                        <w:color w:val="000000" w:themeColor="text1"/>
                                        <w:kern w:val="24"/>
                                        <w:sz w:val="24"/>
                                        <w:szCs w:val="24"/>
                                      </w:rPr>
                                    </m:ctrlPr>
                                  </m:fPr>
                                  <m:num>
                                    <m:r>
                                      <m:rPr>
                                        <m:nor/>
                                      </m:rPr>
                                      <w:rPr>
                                        <w:rFonts w:ascii="Cambria Math" w:hAnsi="Cambria Math"/>
                                        <w:color w:val="000000" w:themeColor="text1"/>
                                        <w:kern w:val="24"/>
                                        <w:sz w:val="24"/>
                                        <w:szCs w:val="24"/>
                                      </w:rPr>
                                      <m:t>(</m:t>
                                    </m:r>
                                    <m:r>
                                      <m:rPr>
                                        <m:nor/>
                                      </m:rPr>
                                      <w:rPr>
                                        <w:rFonts w:hAnsi="Calibri"/>
                                        <w:i/>
                                        <w:iCs/>
                                        <w:color w:val="000000" w:themeColor="text1"/>
                                        <w:kern w:val="24"/>
                                        <w:sz w:val="24"/>
                                        <w:szCs w:val="24"/>
                                        <w:lang w:val="it-IT"/>
                                      </w:rPr>
                                      <m:t>SI_SST + SI_SSS + SI_SSH + SI_DO + SI_MLD +SI_</m:t>
                                    </m:r>
                                    <m:r>
                                      <m:rPr>
                                        <m:nor/>
                                      </m:rPr>
                                      <w:rPr>
                                        <w:rFonts w:hAnsi="Calibri"/>
                                        <w:color w:val="000000" w:themeColor="text1"/>
                                        <w:kern w:val="24"/>
                                        <w:sz w:val="24"/>
                                        <w:szCs w:val="24"/>
                                      </w:rPr>
                                      <m:t>NPP)</m:t>
                                    </m:r>
                                  </m:num>
                                  <m:den>
                                    <m:r>
                                      <w:rPr>
                                        <w:rFonts w:ascii="Cambria Math" w:hAnsi="Cambria Math"/>
                                        <w:color w:val="000000" w:themeColor="text1"/>
                                        <w:kern w:val="24"/>
                                        <w:sz w:val="24"/>
                                        <w:szCs w:val="24"/>
                                      </w:rPr>
                                      <m:t>6</m:t>
                                    </m:r>
                                  </m:den>
                                </m:f>
                              </m:oMath>
                            </m:oMathPara>
                          </w:p>
                        </w:txbxContent>
                      </wps:txbx>
                      <wps:bodyPr wrap="none" lIns="0" tIns="0" rIns="0" bIns="0" rtlCol="0">
                        <a:spAutoFit/>
                      </wps:bodyPr>
                    </wps:wsp>
                  </a:graphicData>
                </a:graphic>
              </wp:anchor>
            </w:drawing>
          </mc:Choice>
          <mc:Fallback>
            <w:pict>
              <v:shape w14:anchorId="6A1B2C29" id="TextBox 32" o:spid="_x0000_s1028" type="#_x0000_t202" style="position:absolute;margin-left:0;margin-top:0;width:452.7pt;height:41.55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" filled="f" stroked="f">
                <v:textbox style="mso-fit-shape-to-text:t" inset="0,0,0,0">
                  <w:txbxContent>
                    <w:p w14:paraId="2DA60174" w14:textId="77777777" w:rsidR="004A004B" w:rsidRPr="00A75FA6" w:rsidRDefault="004A004B" w:rsidP="004A004B">
                      <w:pPr>
                        <w:rPr>
                          <w:rFonts w:ascii="Cambria Math" w:hAnsi="Cambria Math"/>
                          <w:i/>
                          <w:iCs/>
                          <w:color w:val="000000" w:themeColor="text1"/>
                          <w:kern w:val="24"/>
                          <w:sz w:val="24"/>
                          <w:szCs w:val="24"/>
                        </w:rPr>
                      </w:pPr>
                      <m:oMathPara>
                        <m:oMathParaPr>
                          <m:jc m:val="centerGroup"/>
                        </m:oMathParaPr>
                        <m:oMath>
                          <m:r>
                            <w:rPr>
                              <w:rFonts w:ascii="Cambria Math" w:hAnsi="Cambria Math"/>
                              <w:color w:val="000000" w:themeColor="text1"/>
                              <w:kern w:val="24"/>
                              <w:sz w:val="24"/>
                              <w:szCs w:val="24"/>
                            </w:rPr>
                            <m:t>HSI=</m:t>
                          </m:r>
                          <m:f>
                            <m:fPr>
                              <m:ctrlPr>
                                <w:rPr>
                                  <w:rFonts w:ascii="Cambria Math" w:eastAsiaTheme="minorEastAsia" w:hAnsi="Cambria Math"/>
                                  <w:i/>
                                  <w:iCs/>
                                  <w:color w:val="000000" w:themeColor="text1"/>
                                  <w:kern w:val="24"/>
                                  <w:sz w:val="24"/>
                                  <w:szCs w:val="24"/>
                                </w:rPr>
                              </m:ctrlPr>
                            </m:fPr>
                            <m:num>
                              <m:r>
                                <m:rPr>
                                  <m:nor/>
                                </m:rPr>
                                <w:rPr>
                                  <w:rFonts w:ascii="Cambria Math" w:hAnsi="Cambria Math"/>
                                  <w:color w:val="000000" w:themeColor="text1"/>
                                  <w:kern w:val="24"/>
                                  <w:sz w:val="24"/>
                                  <w:szCs w:val="24"/>
                                </w:rPr>
                                <m:t>(</m:t>
                              </m:r>
                              <m:r>
                                <m:rPr>
                                  <m:nor/>
                                </m:rPr>
                                <w:rPr>
                                  <w:rFonts w:hAnsi="Calibri"/>
                                  <w:i/>
                                  <w:iCs/>
                                  <w:color w:val="000000" w:themeColor="text1"/>
                                  <w:kern w:val="24"/>
                                  <w:sz w:val="24"/>
                                  <w:szCs w:val="24"/>
                                  <w:lang w:val="it-IT"/>
                                </w:rPr>
                                <m:t>SI_SST + SI_SSS + SI_SSH + SI_DO + SI_MLD +SI_</m:t>
                              </m:r>
                              <m:r>
                                <m:rPr>
                                  <m:nor/>
                                </m:rPr>
                                <w:rPr>
                                  <w:rFonts w:hAnsi="Calibri"/>
                                  <w:color w:val="000000" w:themeColor="text1"/>
                                  <w:kern w:val="24"/>
                                  <w:sz w:val="24"/>
                                  <w:szCs w:val="24"/>
                                </w:rPr>
                                <m:t>NPP)</m:t>
                              </m:r>
                            </m:num>
                            <m:den>
                              <m:r>
                                <w:rPr>
                                  <w:rFonts w:ascii="Cambria Math" w:hAnsi="Cambria Math"/>
                                  <w:color w:val="000000" w:themeColor="text1"/>
                                  <w:kern w:val="24"/>
                                  <w:sz w:val="24"/>
                                  <w:szCs w:val="24"/>
                                </w:rPr>
                                <m:t>6</m:t>
                              </m:r>
                            </m:den>
                          </m:f>
                        </m:oMath>
                      </m:oMathPara>
                    </w:p>
                  </w:txbxContent>
                </v:textbox>
              </v:shape>
            </w:pict>
          </mc:Fallback>
        </mc:AlternateContent>
      </w:r>
    </w:p>
    <w:sectPr w:rsidR="001D722E" w:rsidRPr="004A004B" w:rsidSect="00AD302C">
      <w:headerReference w:type="first" r:id="rId27"/>
      <w:footerReference w:type="first" r:id="rId28"/>
      <w:pgSz w:w="12240" w:h="15840"/>
      <w:pgMar w:top="2160" w:right="1440" w:bottom="1728"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653C3D" w14:textId="77777777" w:rsidR="004A004B" w:rsidRDefault="004A004B" w:rsidP="004A004B">
      <w:pPr>
        <w:spacing w:after="0" w:line="240" w:lineRule="auto"/>
      </w:pPr>
      <w:r>
        <w:separator/>
      </w:r>
    </w:p>
  </w:endnote>
  <w:endnote w:type="continuationSeparator" w:id="0">
    <w:p w14:paraId="4919B664" w14:textId="77777777" w:rsidR="004A004B" w:rsidRDefault="004A004B" w:rsidP="004A0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n-cs">
    <w:panose1 w:val="00000000000000000000"/>
    <w:charset w:val="00"/>
    <w:family w:val="roman"/>
    <w:notTrueType/>
    <w:pitch w:val="default"/>
  </w:font>
  <w:font w:name="Myriad Pro">
    <w:altName w:val="Segoe UI"/>
    <w:panose1 w:val="00000000000000000000"/>
    <w:charset w:val="00"/>
    <w:family w:val="swiss"/>
    <w:notTrueType/>
    <w:pitch w:val="variable"/>
    <w:sig w:usb0="00000001"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B48D80" w14:textId="3093FABE" w:rsidR="00AD302C" w:rsidRDefault="000F6DE0">
    <w:pPr>
      <w:pStyle w:val="Footer"/>
    </w:pPr>
    <w:r w:rsidRPr="004A004B">
      <w:rPr>
        <w:noProof/>
      </w:rPr>
      <mc:AlternateContent>
        <mc:Choice Requires="wpg">
          <w:drawing>
            <wp:anchor distT="0" distB="0" distL="114300" distR="114300" simplePos="0" relativeHeight="251661312" behindDoc="1" locked="0" layoutInCell="1" allowOverlap="1" wp14:anchorId="57BEDA4C" wp14:editId="3BA3691A">
              <wp:simplePos x="0" y="0"/>
              <wp:positionH relativeFrom="margin">
                <wp:posOffset>-33655</wp:posOffset>
              </wp:positionH>
              <wp:positionV relativeFrom="paragraph">
                <wp:posOffset>287020</wp:posOffset>
              </wp:positionV>
              <wp:extent cx="6002020" cy="66675"/>
              <wp:effectExtent l="0" t="0" r="0" b="9525"/>
              <wp:wrapNone/>
              <wp:docPr id="4"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0"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92F948" id="グループ化 19" o:spid="_x0000_s1026" style="position:absolute;margin-left:-2.65pt;margin-top:22.6pt;width:472.6pt;height:5.25pt;z-index:-251655168;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" fillcolor="#44a8d9" stroked="f" strokeweight="1pt"/>
              <w10:wrap anchorx="margin"/>
            </v:group>
          </w:pict>
        </mc:Fallback>
      </mc:AlternateContent>
    </w:r>
    <w:r w:rsidRPr="004A004B">
      <w:rPr>
        <w:noProof/>
      </w:rPr>
      <mc:AlternateContent>
        <mc:Choice Requires="wps">
          <w:drawing>
            <wp:anchor distT="0" distB="0" distL="114300" distR="114300" simplePos="0" relativeHeight="251660288" behindDoc="0" locked="0" layoutInCell="1" allowOverlap="1" wp14:anchorId="3675E3C2" wp14:editId="27DBF06E">
              <wp:simplePos x="0" y="0"/>
              <wp:positionH relativeFrom="margin">
                <wp:posOffset>4548505</wp:posOffset>
              </wp:positionH>
              <wp:positionV relativeFrom="paragraph">
                <wp:posOffset>-318135</wp:posOffset>
              </wp:positionV>
              <wp:extent cx="1657350" cy="685800"/>
              <wp:effectExtent l="0" t="0" r="0" b="63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B63DE2" w14:textId="77777777" w:rsidR="00AD302C" w:rsidRPr="002F0598" w:rsidRDefault="00AD302C" w:rsidP="00AD302C">
                          <w:pPr>
                            <w:spacing w:after="0" w:line="240" w:lineRule="auto"/>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470EAC3" w14:textId="77777777" w:rsidR="00AD302C" w:rsidRPr="002F0598" w:rsidRDefault="00AD302C" w:rsidP="00AD302C">
                          <w:pPr>
                            <w:spacing w:after="0" w:line="240" w:lineRule="auto"/>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AEADE47" w14:textId="77777777" w:rsidR="00AD302C" w:rsidRPr="002F0598" w:rsidRDefault="00AD302C" w:rsidP="00AD302C">
                          <w:pPr>
                            <w:spacing w:after="0" w:line="240" w:lineRule="auto"/>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1F5E46C7" w14:textId="77777777" w:rsidR="00AD302C" w:rsidRPr="002F0598" w:rsidRDefault="00AD302C" w:rsidP="00AD302C">
                          <w:pPr>
                            <w:spacing w:after="0" w:line="240" w:lineRule="auto"/>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675E3C2" id="_x0000_t202" coordsize="21600,21600" o:spt="202" path="m,l,21600r21600,l21600,xe">
              <v:stroke joinstyle="miter"/>
              <v:path gradientshapeok="t" o:connecttype="rect"/>
            </v:shapetype>
            <v:shape id="テキスト ボックス 17" o:spid="_x0000_s1030" type="#_x0000_t202" style="position:absolute;margin-left:358.15pt;margin-top:-25.05pt;width:130.5pt;height:5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" filled="f" stroked="f" strokeweight=".5pt">
              <v:textbox style="mso-fit-shape-to-text:t">
                <w:txbxContent>
                  <w:p w14:paraId="62B63DE2" w14:textId="77777777" w:rsidR="00AD302C" w:rsidRPr="002F0598" w:rsidRDefault="00AD302C" w:rsidP="00AD302C">
                    <w:pPr>
                      <w:spacing w:after="0" w:line="240" w:lineRule="auto"/>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470EAC3" w14:textId="77777777" w:rsidR="00AD302C" w:rsidRPr="002F0598" w:rsidRDefault="00AD302C" w:rsidP="00AD302C">
                    <w:pPr>
                      <w:spacing w:after="0" w:line="240" w:lineRule="auto"/>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AEADE47" w14:textId="77777777" w:rsidR="00AD302C" w:rsidRPr="002F0598" w:rsidRDefault="00AD302C" w:rsidP="00AD302C">
                    <w:pPr>
                      <w:spacing w:after="0" w:line="240" w:lineRule="auto"/>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1F5E46C7" w14:textId="77777777" w:rsidR="00AD302C" w:rsidRPr="002F0598" w:rsidRDefault="00AD302C" w:rsidP="00AD302C">
                    <w:pPr>
                      <w:spacing w:after="0" w:line="240" w:lineRule="auto"/>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00AD302C" w:rsidRPr="004A004B">
      <w:rPr>
        <w:noProof/>
      </w:rPr>
      <mc:AlternateContent>
        <mc:Choice Requires="wps">
          <w:drawing>
            <wp:anchor distT="0" distB="0" distL="114300" distR="114300" simplePos="0" relativeHeight="251659264" behindDoc="0" locked="0" layoutInCell="1" allowOverlap="1" wp14:anchorId="3DEB1FCA" wp14:editId="58CA114F">
              <wp:simplePos x="0" y="0"/>
              <wp:positionH relativeFrom="margin">
                <wp:posOffset>-70213</wp:posOffset>
              </wp:positionH>
              <wp:positionV relativeFrom="paragraph">
                <wp:posOffset>-354965</wp:posOffset>
              </wp:positionV>
              <wp:extent cx="2647950" cy="685800"/>
              <wp:effectExtent l="0" t="0" r="0" b="1270"/>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6FC22B" w14:textId="77777777" w:rsidR="00AD302C" w:rsidRPr="00CC48E0" w:rsidRDefault="00AD302C" w:rsidP="00AD302C">
                          <w:pPr>
                            <w:spacing w:after="0"/>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4F78EDC5" w14:textId="77777777" w:rsidR="00AD302C" w:rsidRPr="00CC48E0" w:rsidRDefault="00AD302C" w:rsidP="00AD302C">
                          <w:pPr>
                            <w:spacing w:after="0"/>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6D468C09" w14:textId="77777777" w:rsidR="00AD302C" w:rsidRPr="00CC48E0" w:rsidRDefault="00AD302C" w:rsidP="00AD302C">
                          <w:pPr>
                            <w:spacing w:after="0"/>
                            <w:rPr>
                              <w:rFonts w:ascii="Myriad Pro" w:hAnsi="Myriad Pro"/>
                              <w:color w:val="595959"/>
                              <w:sz w:val="14"/>
                              <w:szCs w:val="14"/>
                            </w:rPr>
                          </w:pPr>
                          <w:r w:rsidRPr="00CC48E0">
                            <w:rPr>
                              <w:rFonts w:ascii="Myriad Pro" w:hAnsi="Myriad Pro"/>
                              <w:color w:val="595959"/>
                              <w:sz w:val="14"/>
                              <w:szCs w:val="14"/>
                            </w:rPr>
                            <w:t>4-5-7 Konan, Minato-ku, Tokyo</w:t>
                          </w:r>
                        </w:p>
                        <w:p w14:paraId="46771D92" w14:textId="77777777" w:rsidR="00AD302C" w:rsidRPr="00CC48E0" w:rsidRDefault="00AD302C" w:rsidP="00AD302C">
                          <w:pPr>
                            <w:spacing w:after="0"/>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DEB1FCA" id="テキスト ボックス 6" o:spid="_x0000_s1031" type="#_x0000_t202" style="position:absolute;margin-left:-5.55pt;margin-top:-27.95pt;width:208.5pt;height:5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" filled="f" stroked="f" strokeweight=".5pt">
              <v:textbox style="mso-fit-shape-to-text:t">
                <w:txbxContent>
                  <w:p w14:paraId="796FC22B" w14:textId="77777777" w:rsidR="00AD302C" w:rsidRPr="00CC48E0" w:rsidRDefault="00AD302C" w:rsidP="00AD302C">
                    <w:pPr>
                      <w:spacing w:after="0"/>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4F78EDC5" w14:textId="77777777" w:rsidR="00AD302C" w:rsidRPr="00CC48E0" w:rsidRDefault="00AD302C" w:rsidP="00AD302C">
                    <w:pPr>
                      <w:spacing w:after="0"/>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6D468C09" w14:textId="77777777" w:rsidR="00AD302C" w:rsidRPr="00CC48E0" w:rsidRDefault="00AD302C" w:rsidP="00AD302C">
                    <w:pPr>
                      <w:spacing w:after="0"/>
                      <w:rPr>
                        <w:rFonts w:ascii="Myriad Pro" w:hAnsi="Myriad Pro"/>
                        <w:color w:val="595959"/>
                        <w:sz w:val="14"/>
                        <w:szCs w:val="14"/>
                      </w:rPr>
                    </w:pPr>
                    <w:r w:rsidRPr="00CC48E0">
                      <w:rPr>
                        <w:rFonts w:ascii="Myriad Pro" w:hAnsi="Myriad Pro"/>
                        <w:color w:val="595959"/>
                        <w:sz w:val="14"/>
                        <w:szCs w:val="14"/>
                      </w:rPr>
                      <w:t>4-5-7 Konan, Minato-ku, Tokyo</w:t>
                    </w:r>
                  </w:p>
                  <w:p w14:paraId="46771D92" w14:textId="77777777" w:rsidR="00AD302C" w:rsidRPr="00CC48E0" w:rsidRDefault="00AD302C" w:rsidP="00AD302C">
                    <w:pPr>
                      <w:spacing w:after="0"/>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0926E1" w14:textId="77777777" w:rsidR="004A004B" w:rsidRDefault="004A004B" w:rsidP="004A004B">
      <w:pPr>
        <w:spacing w:after="0" w:line="240" w:lineRule="auto"/>
      </w:pPr>
      <w:r>
        <w:separator/>
      </w:r>
    </w:p>
  </w:footnote>
  <w:footnote w:type="continuationSeparator" w:id="0">
    <w:p w14:paraId="22600809" w14:textId="77777777" w:rsidR="004A004B" w:rsidRDefault="004A004B" w:rsidP="004A00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A57E2" w14:textId="1BC9B329" w:rsidR="000F6DE0" w:rsidRDefault="000F6DE0">
    <w:pPr>
      <w:pStyle w:val="Header"/>
    </w:pPr>
    <w:r w:rsidRPr="004A004B">
      <w:rPr>
        <w:noProof/>
      </w:rPr>
      <mc:AlternateContent>
        <mc:Choice Requires="wps">
          <w:drawing>
            <wp:anchor distT="0" distB="0" distL="114300" distR="114300" simplePos="0" relativeHeight="251664384" behindDoc="1" locked="0" layoutInCell="1" allowOverlap="0" wp14:anchorId="3DEBE843" wp14:editId="4131C000">
              <wp:simplePos x="0" y="0"/>
              <wp:positionH relativeFrom="margin">
                <wp:posOffset>1344295</wp:posOffset>
              </wp:positionH>
              <wp:positionV relativeFrom="paragraph">
                <wp:posOffset>474345</wp:posOffset>
              </wp:positionV>
              <wp:extent cx="3381375" cy="238125"/>
              <wp:effectExtent l="0" t="0" r="0" b="0"/>
              <wp:wrapNone/>
              <wp:docPr id="57363667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4E1A5556" w14:textId="77777777" w:rsidR="000F6DE0" w:rsidRPr="00D42168" w:rsidRDefault="000F6DE0" w:rsidP="000F6DE0">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EBE843" id="_x0000_t202" coordsize="21600,21600" o:spt="202" path="m,l,21600r21600,l21600,xe">
              <v:stroke joinstyle="miter"/>
              <v:path gradientshapeok="t" o:connecttype="rect"/>
            </v:shapetype>
            <v:shape id="テキスト ボックス 15" o:spid="_x0000_s1029" type="#_x0000_t202" style="position:absolute;margin-left:105.85pt;margin-top:37.35pt;width:266.25pt;height:18.7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" o:allowoverlap="f" filled="f" stroked="f" strokeweight=".5pt">
              <v:textbox>
                <w:txbxContent>
                  <w:p w14:paraId="4E1A5556" w14:textId="77777777" w:rsidR="000F6DE0" w:rsidRPr="00D42168" w:rsidRDefault="000F6DE0" w:rsidP="000F6DE0">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sidRPr="004A004B">
      <w:rPr>
        <w:noProof/>
      </w:rPr>
      <w:drawing>
        <wp:anchor distT="0" distB="0" distL="114300" distR="114300" simplePos="0" relativeHeight="251663360" behindDoc="1" locked="0" layoutInCell="1" allowOverlap="1" wp14:anchorId="7757D598" wp14:editId="2E52908D">
          <wp:simplePos x="0" y="0"/>
          <wp:positionH relativeFrom="margin">
            <wp:posOffset>2461260</wp:posOffset>
          </wp:positionH>
          <wp:positionV relativeFrom="paragraph">
            <wp:posOffset>-299357</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80186B"/>
    <w:multiLevelType w:val="multilevel"/>
    <w:tmpl w:val="E6BC5C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97218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04B"/>
    <w:rsid w:val="000F6DE0"/>
    <w:rsid w:val="001D722E"/>
    <w:rsid w:val="004A004B"/>
    <w:rsid w:val="00A95644"/>
    <w:rsid w:val="00AD302C"/>
    <w:rsid w:val="00BF302F"/>
    <w:rsid w:val="00EE0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071B9B"/>
  <w15:chartTrackingRefBased/>
  <w15:docId w15:val="{24D90703-8D87-4316-B893-122FBC995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0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004B"/>
    <w:rPr>
      <w:color w:val="0563C1" w:themeColor="hyperlink"/>
      <w:u w:val="single"/>
    </w:rPr>
  </w:style>
  <w:style w:type="paragraph" w:styleId="ListParagraph">
    <w:name w:val="List Paragraph"/>
    <w:basedOn w:val="Normal"/>
    <w:uiPriority w:val="34"/>
    <w:qFormat/>
    <w:rsid w:val="004A004B"/>
    <w:pPr>
      <w:ind w:left="720"/>
      <w:contextualSpacing/>
    </w:pPr>
  </w:style>
  <w:style w:type="paragraph" w:styleId="Header">
    <w:name w:val="header"/>
    <w:basedOn w:val="Normal"/>
    <w:link w:val="HeaderChar"/>
    <w:uiPriority w:val="99"/>
    <w:unhideWhenUsed/>
    <w:rsid w:val="004A00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004B"/>
  </w:style>
  <w:style w:type="paragraph" w:styleId="Footer">
    <w:name w:val="footer"/>
    <w:basedOn w:val="Normal"/>
    <w:link w:val="FooterChar"/>
    <w:uiPriority w:val="99"/>
    <w:unhideWhenUsed/>
    <w:rsid w:val="004A00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00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fog.12408" TargetMode="External"/><Relationship Id="rId13" Type="http://schemas.openxmlformats.org/officeDocument/2006/relationships/hyperlink" Target="https://doi.org/10.1038/s41598-024-61734-8" TargetMode="External"/><Relationship Id="rId18" Type="http://schemas.openxmlformats.org/officeDocument/2006/relationships/image" Target="media/image1.png"/><Relationship Id="rId26"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hyperlink" Target="https://pcmdi.llnl.gov/CMIP6/" TargetMode="External"/><Relationship Id="rId12" Type="http://schemas.openxmlformats.org/officeDocument/2006/relationships/hyperlink" Target="https://doi.org/10.1137/0111030" TargetMode="External"/><Relationship Id="rId17" Type="http://schemas.openxmlformats.org/officeDocument/2006/relationships/hyperlink" Target="https://doi.org/10.1007/BF01586927" TargetMode="External"/><Relationship Id="rId25" Type="http://schemas.openxmlformats.org/officeDocument/2006/relationships/image" Target="media/image6.png"/><Relationship Id="rId2" Type="http://schemas.openxmlformats.org/officeDocument/2006/relationships/styles" Target="styles.xml"/><Relationship Id="rId16" Type="http://schemas.openxmlformats.org/officeDocument/2006/relationships/hyperlink" Target="https://doi.org/10.1093/icesjms/fsr070" TargetMode="Externa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s41598-022-17786-9" TargetMode="External"/><Relationship Id="rId24"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doi.org/10.2331/fishsci.68.sup1_158" TargetMode="External"/><Relationship Id="rId23" Type="http://schemas.openxmlformats.org/officeDocument/2006/relationships/image" Target="media/image4.tiff"/><Relationship Id="rId28" Type="http://schemas.openxmlformats.org/officeDocument/2006/relationships/footer" Target="footer1.xml"/><Relationship Id="rId10" Type="http://schemas.openxmlformats.org/officeDocument/2006/relationships/hyperlink" Target="https://doi.org/10.1016/j.fishres.2019.105408"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qdhys.ijournal.cn/hyyhz/ch/reader/create_pdf.aspx?file_no=200906006&amp;year_id=2009&amp;quarter_id=6&amp;falg=1" TargetMode="External"/><Relationship Id="rId14" Type="http://schemas.openxmlformats.org/officeDocument/2006/relationships/hyperlink" Target="https://www.npfc.int/sites/default/files/2023-02/SSC%20PS10%20report.pdf" TargetMode="External"/><Relationship Id="rId22" Type="http://schemas.openxmlformats.org/officeDocument/2006/relationships/image" Target="media/image3.tiff"/><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2899</Words>
  <Characters>16529</Characters>
  <Application>Microsoft Office Word</Application>
  <DocSecurity>0</DocSecurity>
  <Lines>137</Lines>
  <Paragraphs>38</Paragraphs>
  <ScaleCrop>false</ScaleCrop>
  <Company/>
  <LinksUpToDate>false</LinksUpToDate>
  <CharactersWithSpaces>19390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dc:creator>
  <cp:keywords/>
  <dc:description/>
  <cp:lastModifiedBy>Aleksandr Zavolokin</cp:lastModifiedBy>
  <cp:revision>4</cp:revision>
  <dcterms:created xsi:type="dcterms:W3CDTF">2024-11-11T04:33:00Z</dcterms:created>
  <dcterms:modified xsi:type="dcterms:W3CDTF">2024-11-12T02:03:00Z</dcterms:modified>
</cp:coreProperties>
</file>